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0DE" w:rsidRDefault="00A02D48" w:rsidP="00A02D48">
      <w:pPr>
        <w:jc w:val="center"/>
        <w:rPr>
          <w:rFonts w:ascii="Sylfaen" w:hAnsi="Sylfaen"/>
          <w:lang w:val="ka-GE"/>
        </w:rPr>
      </w:pPr>
      <w:r>
        <w:rPr>
          <w:rFonts w:ascii="Sylfaen" w:hAnsi="Sylfaen"/>
          <w:lang w:val="ka-GE"/>
        </w:rPr>
        <w:t>ინფექციური დაავადებების მართვა</w:t>
      </w:r>
    </w:p>
    <w:p w:rsidR="00A02D48" w:rsidRDefault="00A02D48" w:rsidP="00A02D48">
      <w:pPr>
        <w:jc w:val="center"/>
        <w:rPr>
          <w:rFonts w:ascii="Sylfaen" w:hAnsi="Sylfaen"/>
          <w:lang w:val="ka-GE"/>
        </w:rPr>
      </w:pPr>
      <w:r>
        <w:rPr>
          <w:rFonts w:ascii="Sylfaen" w:hAnsi="Sylfaen"/>
          <w:lang w:val="ka-GE"/>
        </w:rPr>
        <w:t>2016</w:t>
      </w:r>
    </w:p>
    <w:p w:rsidR="00A02D48" w:rsidRDefault="00A02D48" w:rsidP="00A02D48">
      <w:pPr>
        <w:jc w:val="center"/>
        <w:rPr>
          <w:rFonts w:ascii="Sylfaen" w:hAnsi="Sylfaen"/>
          <w:lang w:val="ka-GE"/>
        </w:rPr>
      </w:pPr>
    </w:p>
    <w:p w:rsidR="00A02D48" w:rsidRPr="00A02D48" w:rsidRDefault="00A02D48" w:rsidP="00A0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Pr>
          <w:rFonts w:ascii="Sylfaen" w:hAnsi="Sylfaen"/>
          <w:lang w:val="ka-GE"/>
        </w:rPr>
        <w:t xml:space="preserve">ინფექციური დაავადებების მართვის სახელმწიფო პროგრამა მოიცავს შესაბამისი დანართით განსაზღვრული დაავადებების </w:t>
      </w:r>
      <w:r w:rsidRPr="00A02D48">
        <w:rPr>
          <w:rFonts w:ascii="Sylfaen" w:hAnsi="Sylfaen"/>
          <w:lang w:val="ka-GE"/>
        </w:rPr>
        <w:t>სტაციონარულ მკურნალობას</w:t>
      </w:r>
      <w:r>
        <w:rPr>
          <w:rFonts w:ascii="Sylfaen" w:hAnsi="Sylfaen"/>
          <w:lang w:val="ka-GE"/>
        </w:rPr>
        <w:t xml:space="preserve"> და მისი </w:t>
      </w:r>
      <w:r w:rsidRPr="00A02D48">
        <w:rPr>
          <w:rFonts w:ascii="Sylfaen" w:hAnsi="Sylfaen"/>
          <w:lang w:val="ka-GE"/>
        </w:rPr>
        <w:t>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w:t>
      </w:r>
    </w:p>
    <w:p w:rsidR="00A02D48" w:rsidRDefault="00A02D48" w:rsidP="00A02D48">
      <w:pPr>
        <w:jc w:val="both"/>
        <w:rPr>
          <w:rFonts w:ascii="Sylfaen" w:hAnsi="Sylfaen"/>
          <w:lang w:val="ka-GE"/>
        </w:rPr>
      </w:pPr>
    </w:p>
    <w:p w:rsidR="00DD31C1" w:rsidRDefault="00DD31C1" w:rsidP="00A02D48">
      <w:pPr>
        <w:jc w:val="both"/>
        <w:rPr>
          <w:rFonts w:ascii="Sylfaen" w:hAnsi="Sylfaen"/>
          <w:lang w:val="ka-GE"/>
        </w:rPr>
      </w:pPr>
      <w:r>
        <w:rPr>
          <w:rFonts w:ascii="Sylfaen" w:hAnsi="Sylfaen"/>
          <w:lang w:val="ka-GE"/>
        </w:rPr>
        <w:t>პროგრამის დაფინანსების ძირითადი მექანიზმებია:</w:t>
      </w:r>
    </w:p>
    <w:p w:rsidR="00DD31C1" w:rsidRDefault="00DD31C1" w:rsidP="00DD31C1">
      <w:pPr>
        <w:pStyle w:val="ListParagraph"/>
        <w:numPr>
          <w:ilvl w:val="0"/>
          <w:numId w:val="1"/>
        </w:numPr>
        <w:jc w:val="both"/>
        <w:rPr>
          <w:rFonts w:ascii="Sylfaen" w:hAnsi="Sylfaen"/>
          <w:lang w:val="ka-GE"/>
        </w:rPr>
      </w:pPr>
      <w:r>
        <w:rPr>
          <w:rFonts w:ascii="Sylfaen" w:hAnsi="Sylfaen"/>
          <w:lang w:val="ka-GE"/>
        </w:rPr>
        <w:t xml:space="preserve">მომსახურება ჯგუფდება კატეგორიებად და ფინანსდება </w:t>
      </w:r>
      <w:r w:rsidR="00AC672A">
        <w:rPr>
          <w:rFonts w:ascii="Sylfaen" w:hAnsi="Sylfaen"/>
          <w:lang w:val="ka-GE"/>
        </w:rPr>
        <w:t xml:space="preserve">არამატერიალიზებული ვაუჩერის მეშვეობით, </w:t>
      </w:r>
      <w:r>
        <w:rPr>
          <w:rFonts w:ascii="Sylfaen" w:hAnsi="Sylfaen"/>
          <w:lang w:val="ka-GE"/>
        </w:rPr>
        <w:t xml:space="preserve">ფაქტობრივი ხარჯის მიხედვით, მაგრამ არაუმეტეს </w:t>
      </w:r>
      <w:r w:rsidR="00AC672A">
        <w:rPr>
          <w:rFonts w:ascii="Sylfaen" w:hAnsi="Sylfaen"/>
          <w:lang w:val="ka-GE"/>
        </w:rPr>
        <w:t xml:space="preserve">პროგრამით </w:t>
      </w:r>
      <w:r>
        <w:rPr>
          <w:rFonts w:ascii="Sylfaen" w:hAnsi="Sylfaen"/>
          <w:lang w:val="ka-GE"/>
        </w:rPr>
        <w:t>დადგენილი ფასებისა</w:t>
      </w:r>
      <w:r w:rsidR="00AC672A">
        <w:rPr>
          <w:rFonts w:ascii="Sylfaen" w:hAnsi="Sylfaen"/>
          <w:lang w:val="ka-GE"/>
        </w:rPr>
        <w:t>.</w:t>
      </w:r>
    </w:p>
    <w:p w:rsidR="00DD31C1" w:rsidRDefault="00DD31C1" w:rsidP="00DD31C1">
      <w:pPr>
        <w:pStyle w:val="ListParagraph"/>
        <w:numPr>
          <w:ilvl w:val="0"/>
          <w:numId w:val="1"/>
        </w:numPr>
        <w:jc w:val="both"/>
        <w:rPr>
          <w:rFonts w:ascii="Sylfaen" w:hAnsi="Sylfaen"/>
          <w:lang w:val="ka-GE"/>
        </w:rPr>
      </w:pPr>
      <w:r>
        <w:rPr>
          <w:rFonts w:ascii="Sylfaen" w:hAnsi="Sylfaen"/>
          <w:lang w:val="ka-GE"/>
        </w:rPr>
        <w:t>პროგრამის ფარგლებში გათვალისწინებულია ფაქტობრივი ხარჯის 20% თანაგადახდა პაციენტის მხრიდან, საპესიო ასაკის პირებისთვის 10% თანაგადახდა.</w:t>
      </w:r>
    </w:p>
    <w:p w:rsidR="00DD31C1" w:rsidRDefault="00DD31C1" w:rsidP="00DD31C1">
      <w:pPr>
        <w:pStyle w:val="ListParagraph"/>
        <w:numPr>
          <w:ilvl w:val="0"/>
          <w:numId w:val="1"/>
        </w:numPr>
        <w:jc w:val="both"/>
        <w:rPr>
          <w:rFonts w:ascii="Sylfaen" w:hAnsi="Sylfaen"/>
          <w:lang w:val="ka-GE"/>
        </w:rPr>
      </w:pPr>
      <w:r w:rsidRPr="00DD31C1">
        <w:rPr>
          <w:rFonts w:ascii="Sylfaen" w:hAnsi="Sylfaen"/>
          <w:lang w:val="ka-GE"/>
        </w:rPr>
        <w:t>თანაგადახდას არ ექვემდებარება 218 ბენეფიციარები</w:t>
      </w:r>
      <w:r w:rsidR="00AC672A">
        <w:rPr>
          <w:rFonts w:ascii="Sylfaen" w:hAnsi="Sylfaen"/>
          <w:lang w:val="ka-GE"/>
        </w:rPr>
        <w:t>ს</w:t>
      </w:r>
      <w:r w:rsidRPr="00DD31C1">
        <w:rPr>
          <w:rFonts w:ascii="Sylfaen" w:hAnsi="Sylfaen"/>
          <w:lang w:val="ka-GE"/>
        </w:rPr>
        <w:t xml:space="preserve">, ნეონატალური ასაკი და ამ ასაკში დაწყებული შემთხვევები, ასევე, </w:t>
      </w:r>
      <w:r w:rsidRPr="00DD31C1">
        <w:rPr>
          <w:rFonts w:ascii="Sylfaen" w:eastAsia="Sylfaen" w:hAnsi="Sylfaen"/>
          <w:sz w:val="24"/>
        </w:rPr>
        <w:t xml:space="preserve"> </w:t>
      </w:r>
      <w:r w:rsidRPr="002C0C64">
        <w:rPr>
          <w:rFonts w:ascii="Sylfaen" w:hAnsi="Sylfaen"/>
          <w:lang w:val="ka-GE"/>
        </w:rPr>
        <w:t>ასაკით პენსიონერი ვეტერანი</w:t>
      </w:r>
      <w:r w:rsidR="00AC672A">
        <w:rPr>
          <w:rFonts w:ascii="Sylfaen" w:hAnsi="Sylfaen"/>
          <w:lang w:val="ka-GE"/>
        </w:rPr>
        <w:t>სა</w:t>
      </w:r>
      <w:r w:rsidRPr="002C0C64">
        <w:rPr>
          <w:rFonts w:ascii="Sylfaen" w:hAnsi="Sylfaen"/>
          <w:lang w:val="ka-GE"/>
        </w:rPr>
        <w:t xml:space="preserve"> და მკვეთრად გამოხატული შშმ ვეტერანი</w:t>
      </w:r>
      <w:r w:rsidR="00AC672A">
        <w:rPr>
          <w:rFonts w:ascii="Sylfaen" w:hAnsi="Sylfaen"/>
          <w:lang w:val="ka-GE"/>
        </w:rPr>
        <w:t>სათვის გაწეული მომსახურება.</w:t>
      </w:r>
    </w:p>
    <w:p w:rsidR="00AC672A" w:rsidRDefault="00AC672A" w:rsidP="00AC672A">
      <w:pPr>
        <w:jc w:val="both"/>
        <w:rPr>
          <w:rFonts w:ascii="Sylfaen" w:hAnsi="Sylfaen"/>
          <w:lang w:val="ka-GE"/>
        </w:rPr>
      </w:pPr>
    </w:p>
    <w:p w:rsidR="00AC672A" w:rsidRDefault="00AC672A" w:rsidP="00AC672A">
      <w:pPr>
        <w:jc w:val="both"/>
        <w:rPr>
          <w:rFonts w:ascii="Sylfaen" w:hAnsi="Sylfaen"/>
          <w:lang w:val="ka-GE"/>
        </w:rPr>
      </w:pPr>
      <w:r>
        <w:rPr>
          <w:rFonts w:ascii="Sylfaen" w:hAnsi="Sylfaen"/>
          <w:lang w:val="ka-GE"/>
        </w:rPr>
        <w:t>პროგრამის ბიუჯეტი 2016 წელს განისაზღვრა 8 000 000 ლარით.</w:t>
      </w:r>
      <w:r w:rsidR="00E226A9">
        <w:rPr>
          <w:rFonts w:ascii="Sylfaen" w:hAnsi="Sylfaen"/>
          <w:lang w:val="ka-GE"/>
        </w:rPr>
        <w:t xml:space="preserve"> </w:t>
      </w:r>
    </w:p>
    <w:p w:rsidR="00291E65" w:rsidRDefault="00AC672A" w:rsidP="00AC672A">
      <w:pPr>
        <w:jc w:val="both"/>
        <w:rPr>
          <w:rFonts w:ascii="Sylfaen" w:hAnsi="Sylfaen"/>
          <w:lang w:val="ka-GE"/>
        </w:rPr>
      </w:pPr>
      <w:r>
        <w:rPr>
          <w:rFonts w:ascii="Sylfaen" w:hAnsi="Sylfaen"/>
          <w:lang w:val="ka-GE"/>
        </w:rPr>
        <w:t>პროგრამის განხორციელების პროცესში დაფიქსირდა შემთხვევების</w:t>
      </w:r>
      <w:r w:rsidR="00291E65">
        <w:rPr>
          <w:rFonts w:ascii="Sylfaen" w:hAnsi="Sylfaen"/>
          <w:lang w:val="ka-GE"/>
        </w:rPr>
        <w:t>ა</w:t>
      </w:r>
      <w:r>
        <w:rPr>
          <w:rFonts w:ascii="Sylfaen" w:hAnsi="Sylfaen"/>
          <w:lang w:val="ka-GE"/>
        </w:rPr>
        <w:t xml:space="preserve"> </w:t>
      </w:r>
      <w:r w:rsidR="00E226A9">
        <w:rPr>
          <w:rFonts w:ascii="Sylfaen" w:hAnsi="Sylfaen"/>
          <w:lang w:val="ka-GE"/>
        </w:rPr>
        <w:t>და შესაბამისად</w:t>
      </w:r>
      <w:r w:rsidR="00DC7266">
        <w:rPr>
          <w:rFonts w:ascii="Sylfaen" w:hAnsi="Sylfaen"/>
          <w:lang w:val="ka-GE"/>
        </w:rPr>
        <w:t>,</w:t>
      </w:r>
      <w:r w:rsidR="00E226A9">
        <w:rPr>
          <w:rFonts w:ascii="Sylfaen" w:hAnsi="Sylfaen"/>
          <w:lang w:val="ka-GE"/>
        </w:rPr>
        <w:t xml:space="preserve"> საბიუჯეტო რესურსის </w:t>
      </w:r>
      <w:r w:rsidR="00291E65">
        <w:rPr>
          <w:rFonts w:ascii="Sylfaen" w:hAnsi="Sylfaen"/>
          <w:lang w:val="ka-GE"/>
        </w:rPr>
        <w:t xml:space="preserve">მნიშვნელოვანი ზრდა. </w:t>
      </w:r>
      <w:r w:rsidR="00E226A9">
        <w:rPr>
          <w:rFonts w:ascii="Sylfaen" w:hAnsi="Sylfaen"/>
          <w:lang w:val="ka-GE"/>
        </w:rPr>
        <w:t xml:space="preserve">მიმდინარე წლის </w:t>
      </w:r>
      <w:r w:rsidR="00291E65">
        <w:rPr>
          <w:rFonts w:ascii="Sylfaen" w:hAnsi="Sylfaen"/>
          <w:lang w:val="ka-GE"/>
        </w:rPr>
        <w:t>აგვისტოს ჩათვლით პროგრამის ფარგლებში დაფიქსირდა 14</w:t>
      </w:r>
      <w:r w:rsidR="00547DCA">
        <w:rPr>
          <w:rFonts w:ascii="Sylfaen" w:hAnsi="Sylfaen"/>
          <w:lang w:val="ka-GE"/>
        </w:rPr>
        <w:t> 800-ზე მეტი</w:t>
      </w:r>
      <w:r w:rsidR="00291E65">
        <w:rPr>
          <w:rFonts w:ascii="Sylfaen" w:hAnsi="Sylfaen"/>
          <w:lang w:val="ka-GE"/>
        </w:rPr>
        <w:t xml:space="preserve"> შემთხვევა, ხოლო საკასო ხარჯმა შეადგინა </w:t>
      </w:r>
      <w:r w:rsidR="00291E65" w:rsidRPr="00DC364D">
        <w:rPr>
          <w:rFonts w:ascii="Sylfaen" w:hAnsi="Sylfaen"/>
          <w:b/>
          <w:u w:val="double"/>
          <w:lang w:val="ka-GE"/>
        </w:rPr>
        <w:t>7 283 435, 14ლარი,</w:t>
      </w:r>
      <w:r w:rsidR="00291E65">
        <w:rPr>
          <w:rFonts w:ascii="Sylfaen" w:hAnsi="Sylfaen"/>
          <w:lang w:val="ka-GE"/>
        </w:rPr>
        <w:t xml:space="preserve"> რაც </w:t>
      </w:r>
      <w:r w:rsidR="00DC364D">
        <w:rPr>
          <w:rFonts w:ascii="Sylfaen" w:hAnsi="Sylfaen"/>
          <w:lang w:val="ka-GE"/>
        </w:rPr>
        <w:t xml:space="preserve">პროგრამის 2016 წლის </w:t>
      </w:r>
      <w:r w:rsidR="00291E65">
        <w:rPr>
          <w:rFonts w:ascii="Sylfaen" w:hAnsi="Sylfaen"/>
          <w:lang w:val="ka-GE"/>
        </w:rPr>
        <w:t xml:space="preserve">მთლიანი ბიუჯეტის </w:t>
      </w:r>
      <w:r w:rsidR="00291E65" w:rsidRPr="00DC364D">
        <w:rPr>
          <w:rFonts w:ascii="Sylfaen" w:hAnsi="Sylfaen"/>
          <w:b/>
          <w:i/>
          <w:u w:val="double"/>
          <w:lang w:val="ka-GE"/>
        </w:rPr>
        <w:t>90%</w:t>
      </w:r>
      <w:r w:rsidR="00291E65">
        <w:rPr>
          <w:rFonts w:ascii="Sylfaen" w:hAnsi="Sylfaen"/>
          <w:lang w:val="ka-GE"/>
        </w:rPr>
        <w:t xml:space="preserve"> შეადგენს.</w:t>
      </w:r>
    </w:p>
    <w:p w:rsidR="00AC672A" w:rsidRDefault="00291E65" w:rsidP="00AC672A">
      <w:pPr>
        <w:jc w:val="both"/>
        <w:rPr>
          <w:rFonts w:ascii="Sylfaen" w:hAnsi="Sylfaen"/>
          <w:lang w:val="ka-GE"/>
        </w:rPr>
      </w:pPr>
      <w:r>
        <w:rPr>
          <w:rFonts w:ascii="Sylfaen" w:hAnsi="Sylfaen"/>
          <w:lang w:val="ka-GE"/>
        </w:rPr>
        <w:t>ცხრა</w:t>
      </w:r>
      <w:r w:rsidR="00E226A9">
        <w:rPr>
          <w:rFonts w:ascii="Sylfaen" w:hAnsi="Sylfaen"/>
          <w:lang w:val="ka-GE"/>
        </w:rPr>
        <w:t xml:space="preserve"> თვის შესრულებული სამუშაოს ანალიზის პროცესში გამოიკვეთა საყურადღებო ტენდენციები</w:t>
      </w:r>
      <w:r w:rsidR="005D12D5">
        <w:rPr>
          <w:rFonts w:ascii="Sylfaen" w:hAnsi="Sylfaen"/>
          <w:lang w:val="ka-GE"/>
        </w:rPr>
        <w:t xml:space="preserve">; </w:t>
      </w:r>
    </w:p>
    <w:p w:rsidR="005D12D5" w:rsidRDefault="005D12D5" w:rsidP="00AC672A">
      <w:pPr>
        <w:jc w:val="both"/>
        <w:rPr>
          <w:rFonts w:ascii="Sylfaen" w:hAnsi="Sylfaen"/>
          <w:lang w:val="ka-GE"/>
        </w:rPr>
      </w:pPr>
      <w:r>
        <w:rPr>
          <w:rFonts w:ascii="Sylfaen" w:hAnsi="Sylfaen"/>
          <w:lang w:val="ka-GE"/>
        </w:rPr>
        <w:t xml:space="preserve">შემთხვევათა </w:t>
      </w:r>
      <w:r w:rsidRPr="00DC364D">
        <w:rPr>
          <w:rFonts w:ascii="Sylfaen" w:hAnsi="Sylfaen"/>
          <w:b/>
          <w:lang w:val="ka-GE"/>
        </w:rPr>
        <w:t>45%</w:t>
      </w:r>
      <w:r>
        <w:rPr>
          <w:rFonts w:ascii="Sylfaen" w:hAnsi="Sylfaen"/>
          <w:lang w:val="ka-GE"/>
        </w:rPr>
        <w:t xml:space="preserve"> შეადგენს ნაწლავთა ინფექციები და მათ შორის </w:t>
      </w:r>
      <w:r w:rsidRPr="00DC364D">
        <w:rPr>
          <w:rFonts w:ascii="Sylfaen" w:hAnsi="Sylfaen"/>
          <w:b/>
          <w:lang w:val="ka-GE"/>
        </w:rPr>
        <w:t>10%</w:t>
      </w:r>
      <w:r>
        <w:rPr>
          <w:rFonts w:ascii="Sylfaen" w:hAnsi="Sylfaen"/>
          <w:lang w:val="ka-GE"/>
        </w:rPr>
        <w:t xml:space="preserve"> მოდის ჰემოკოლიტით მიმდინარე ნაწლავთა ინფექციებზე</w:t>
      </w:r>
      <w:r w:rsidR="004C5D1E">
        <w:rPr>
          <w:rFonts w:ascii="Sylfaen" w:hAnsi="Sylfaen"/>
          <w:lang w:val="ka-GE"/>
        </w:rPr>
        <w:t xml:space="preserve">, </w:t>
      </w:r>
      <w:r w:rsidR="004C5D1E" w:rsidRPr="00DC364D">
        <w:rPr>
          <w:rFonts w:ascii="Sylfaen" w:hAnsi="Sylfaen"/>
          <w:b/>
          <w:lang w:val="ka-GE"/>
        </w:rPr>
        <w:t>2</w:t>
      </w:r>
      <w:r w:rsidR="002F20B6" w:rsidRPr="00DC364D">
        <w:rPr>
          <w:rFonts w:ascii="Sylfaen" w:hAnsi="Sylfaen"/>
          <w:b/>
          <w:lang w:val="ka-GE"/>
        </w:rPr>
        <w:t>4</w:t>
      </w:r>
      <w:r w:rsidR="004C5D1E" w:rsidRPr="00DC364D">
        <w:rPr>
          <w:rFonts w:ascii="Sylfaen" w:hAnsi="Sylfaen"/>
          <w:b/>
          <w:lang w:val="ka-GE"/>
        </w:rPr>
        <w:t>%</w:t>
      </w:r>
      <w:r w:rsidR="004C5D1E">
        <w:rPr>
          <w:rFonts w:ascii="Sylfaen" w:hAnsi="Sylfaen"/>
          <w:lang w:val="ka-GE"/>
        </w:rPr>
        <w:t xml:space="preserve"> შეადგენს სხვა ვირუსული და </w:t>
      </w:r>
      <w:r w:rsidR="004C5D1E" w:rsidRPr="00DC364D">
        <w:rPr>
          <w:rFonts w:ascii="Sylfaen" w:hAnsi="Sylfaen"/>
          <w:b/>
          <w:lang w:val="ka-GE"/>
        </w:rPr>
        <w:t>10%</w:t>
      </w:r>
      <w:r w:rsidR="004C5D1E">
        <w:rPr>
          <w:rFonts w:ascii="Sylfaen" w:hAnsi="Sylfaen"/>
          <w:lang w:val="ka-GE"/>
        </w:rPr>
        <w:t xml:space="preserve"> სხვა ბაქტერიული ინფექციები. ჰერპესვირუსულ ინფექციებზე მოდის შემთხვევათა </w:t>
      </w:r>
      <w:r w:rsidR="002F20B6" w:rsidRPr="00DC364D">
        <w:rPr>
          <w:rFonts w:ascii="Sylfaen" w:hAnsi="Sylfaen"/>
          <w:b/>
          <w:lang w:val="ka-GE"/>
        </w:rPr>
        <w:t>5</w:t>
      </w:r>
      <w:r w:rsidR="004C5D1E" w:rsidRPr="00DC364D">
        <w:rPr>
          <w:rFonts w:ascii="Sylfaen" w:hAnsi="Sylfaen"/>
          <w:b/>
          <w:lang w:val="ka-GE"/>
        </w:rPr>
        <w:t>%</w:t>
      </w:r>
      <w:r w:rsidR="004C5D1E">
        <w:rPr>
          <w:rFonts w:ascii="Sylfaen" w:hAnsi="Sylfaen"/>
          <w:lang w:val="ka-GE"/>
        </w:rPr>
        <w:t xml:space="preserve">, ქრონიკულ ვირუსულ ჰეპატიტებზე </w:t>
      </w:r>
      <w:r w:rsidR="002F20B6" w:rsidRPr="00DC364D">
        <w:rPr>
          <w:rFonts w:ascii="Sylfaen" w:hAnsi="Sylfaen"/>
          <w:b/>
          <w:lang w:val="ka-GE"/>
        </w:rPr>
        <w:t>6</w:t>
      </w:r>
      <w:r w:rsidR="004C5D1E" w:rsidRPr="00DC364D">
        <w:rPr>
          <w:rFonts w:ascii="Sylfaen" w:hAnsi="Sylfaen"/>
          <w:b/>
          <w:lang w:val="ka-GE"/>
        </w:rPr>
        <w:t>%,</w:t>
      </w:r>
      <w:r w:rsidR="004C5D1E">
        <w:rPr>
          <w:rFonts w:ascii="Sylfaen" w:hAnsi="Sylfaen"/>
          <w:lang w:val="ka-GE"/>
        </w:rPr>
        <w:t xml:space="preserve"> სხვა საკვებისმიერ ინტოქსიკაციებზე </w:t>
      </w:r>
      <w:r w:rsidR="004C5D1E" w:rsidRPr="00DC364D">
        <w:rPr>
          <w:rFonts w:ascii="Sylfaen" w:hAnsi="Sylfaen"/>
          <w:b/>
          <w:lang w:val="ka-GE"/>
        </w:rPr>
        <w:t>3%</w:t>
      </w:r>
      <w:r w:rsidR="004C5D1E">
        <w:rPr>
          <w:rFonts w:ascii="Sylfaen" w:hAnsi="Sylfaen"/>
          <w:lang w:val="ka-GE"/>
        </w:rPr>
        <w:t xml:space="preserve">, სხვადასხვა მიმდინარეობის სეფსისზე </w:t>
      </w:r>
      <w:r w:rsidR="004C5D1E" w:rsidRPr="00DC364D">
        <w:rPr>
          <w:rFonts w:ascii="Sylfaen" w:hAnsi="Sylfaen"/>
          <w:b/>
          <w:lang w:val="ka-GE"/>
        </w:rPr>
        <w:t>2%,</w:t>
      </w:r>
      <w:r w:rsidR="004C5D1E">
        <w:rPr>
          <w:rFonts w:ascii="Sylfaen" w:hAnsi="Sylfaen"/>
          <w:lang w:val="ka-GE"/>
        </w:rPr>
        <w:t xml:space="preserve"> </w:t>
      </w:r>
      <w:r w:rsidR="002F20B6">
        <w:rPr>
          <w:rFonts w:ascii="Sylfaen" w:hAnsi="Sylfaen"/>
          <w:lang w:val="ka-GE"/>
        </w:rPr>
        <w:t xml:space="preserve">პარაზიტოლოგიისა და მენინგიტის შემთხვევებზე </w:t>
      </w:r>
      <w:r w:rsidR="002F20B6" w:rsidRPr="00DC364D">
        <w:rPr>
          <w:rFonts w:ascii="Sylfaen" w:hAnsi="Sylfaen"/>
          <w:b/>
          <w:lang w:val="ka-GE"/>
        </w:rPr>
        <w:t>1-1%,</w:t>
      </w:r>
      <w:r w:rsidR="004C5D1E">
        <w:rPr>
          <w:rFonts w:ascii="Sylfaen" w:hAnsi="Sylfaen"/>
          <w:lang w:val="ka-GE"/>
        </w:rPr>
        <w:t xml:space="preserve"> სხვა ინფექციებზე (მათ შორის, ბოტულიზმი, ცხელებები, პოლინეიროპათიები) </w:t>
      </w:r>
      <w:r w:rsidR="004C5D1E" w:rsidRPr="00DC364D">
        <w:rPr>
          <w:rFonts w:ascii="Sylfaen" w:hAnsi="Sylfaen"/>
          <w:b/>
          <w:lang w:val="ka-GE"/>
        </w:rPr>
        <w:t>2%.</w:t>
      </w:r>
    </w:p>
    <w:p w:rsidR="002F20B6" w:rsidRDefault="002F20B6" w:rsidP="00AC672A">
      <w:pPr>
        <w:jc w:val="both"/>
        <w:rPr>
          <w:rFonts w:ascii="Sylfaen" w:hAnsi="Sylfaen"/>
          <w:lang w:val="ka-GE"/>
        </w:rPr>
      </w:pPr>
    </w:p>
    <w:p w:rsidR="002F20B6" w:rsidRDefault="002F20B6" w:rsidP="00AC672A">
      <w:pPr>
        <w:jc w:val="both"/>
        <w:rPr>
          <w:rFonts w:ascii="Sylfaen" w:hAnsi="Sylfaen"/>
          <w:lang w:val="ka-GE"/>
        </w:rPr>
      </w:pPr>
      <w:r>
        <w:rPr>
          <w:noProof/>
        </w:rPr>
        <w:lastRenderedPageBreak/>
        <w:drawing>
          <wp:inline distT="0" distB="0" distL="0" distR="0" wp14:anchorId="4D6A475A" wp14:editId="75BB6704">
            <wp:extent cx="5938576" cy="4340888"/>
            <wp:effectExtent l="0" t="0" r="24130" b="215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F477F" w:rsidRDefault="008F477F">
      <w:pPr>
        <w:rPr>
          <w:rFonts w:ascii="Sylfaen" w:hAnsi="Sylfaen"/>
          <w:lang w:val="ka-GE"/>
        </w:rPr>
      </w:pPr>
      <w:r>
        <w:rPr>
          <w:rFonts w:ascii="Sylfaen" w:hAnsi="Sylfaen"/>
          <w:lang w:val="ka-GE"/>
        </w:rPr>
        <w:t>თუ შევადარებთ შემთხვევებს ღირებულების მიხედვით, დაბალფასიანი შემთხვევების რაოდენობა სჭარბობს მაღალფასიანი შემთხვევების რაოდენობას:</w:t>
      </w:r>
    </w:p>
    <w:p w:rsidR="008F477F" w:rsidRDefault="008F477F">
      <w:pPr>
        <w:rPr>
          <w:rFonts w:ascii="Sylfaen" w:hAnsi="Sylfaen"/>
          <w:lang w:val="ka-GE"/>
        </w:rPr>
      </w:pPr>
      <w:r>
        <w:rPr>
          <w:noProof/>
        </w:rPr>
        <w:drawing>
          <wp:inline distT="0" distB="0" distL="0" distR="0" wp14:anchorId="0CFA7718" wp14:editId="63BC76BB">
            <wp:extent cx="5943600" cy="3912870"/>
            <wp:effectExtent l="0" t="0" r="19050" b="1143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Sylfaen" w:hAnsi="Sylfaen"/>
          <w:lang w:val="ka-GE"/>
        </w:rPr>
        <w:br w:type="page"/>
      </w:r>
    </w:p>
    <w:p w:rsidR="002F20B6" w:rsidRDefault="002F20B6" w:rsidP="00AC672A">
      <w:pPr>
        <w:jc w:val="both"/>
        <w:rPr>
          <w:rFonts w:ascii="Sylfaen" w:hAnsi="Sylfaen"/>
          <w:lang w:val="ka-GE"/>
        </w:rPr>
      </w:pPr>
    </w:p>
    <w:p w:rsidR="002F20B6" w:rsidRDefault="00281D61" w:rsidP="00AC672A">
      <w:pPr>
        <w:jc w:val="both"/>
        <w:rPr>
          <w:rFonts w:ascii="Sylfaen" w:hAnsi="Sylfaen"/>
          <w:lang w:val="ka-GE"/>
        </w:rPr>
      </w:pPr>
      <w:r>
        <w:rPr>
          <w:rFonts w:ascii="Sylfaen" w:hAnsi="Sylfaen"/>
          <w:lang w:val="ka-GE"/>
        </w:rPr>
        <w:t>შესამჩნევია, რომ შემთხვევათა რაოდენობის მატება ფიქსირდება ივლის-აგვისტოს თვეში. ამასთან, მკვეთრად იმატებს ნაწლავური ინფექციების, მათ შორის ჰემოკოლიტით მიმდინარე ინფექციების, მწვავე ვირუსული ჰეპატიტის, დაუზუსტებელი ცხელებების და საკვებისმიერი ინტოქსიკაციების რაოდენობა.</w:t>
      </w:r>
    </w:p>
    <w:p w:rsidR="00281D61" w:rsidRDefault="00281D61" w:rsidP="00AC672A">
      <w:pPr>
        <w:jc w:val="both"/>
        <w:rPr>
          <w:rFonts w:ascii="Sylfaen" w:hAnsi="Sylfaen"/>
          <w:lang w:val="ka-GE"/>
        </w:rPr>
      </w:pPr>
    </w:p>
    <w:p w:rsidR="00281D61" w:rsidRDefault="00281D61" w:rsidP="00AC672A">
      <w:pPr>
        <w:jc w:val="both"/>
        <w:rPr>
          <w:rFonts w:ascii="Sylfaen" w:hAnsi="Sylfaen"/>
          <w:lang w:val="ka-GE"/>
        </w:rPr>
      </w:pPr>
      <w:r>
        <w:rPr>
          <w:noProof/>
        </w:rPr>
        <w:drawing>
          <wp:inline distT="0" distB="0" distL="0" distR="0" wp14:anchorId="6EBA235D" wp14:editId="0960B73D">
            <wp:extent cx="6782637" cy="4119824"/>
            <wp:effectExtent l="0" t="0" r="1841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60F78" w:rsidRDefault="001B6CB3" w:rsidP="00AC672A">
      <w:pPr>
        <w:jc w:val="both"/>
        <w:rPr>
          <w:rFonts w:ascii="Sylfaen" w:hAnsi="Sylfaen"/>
          <w:lang w:val="ka-GE"/>
        </w:rPr>
      </w:pPr>
      <w:r>
        <w:rPr>
          <w:rFonts w:ascii="Sylfaen" w:hAnsi="Sylfaen"/>
          <w:lang w:val="ka-GE"/>
        </w:rPr>
        <w:t>აღსანიშნავია, რომ ეს მონაცემები დაახლოებით შეესაბამება დაავადებათა კონტროლისა და საზოგადოებრივი ჯანმრთელობის დაცვის ეროვნული ცენტრის სტატისტიკურ მაჩვენებლებს, რომლის მიხედვითაც წლების შესაბამისად იზრდება სავარაუდო ინფექციური წარმოშობის დიარეების და სავარაუდო საკვებისმიერი მოშხამვების რაოდენობა (იხ. მომდევნო 2 გრაფიკი)</w:t>
      </w:r>
    </w:p>
    <w:p w:rsidR="001B6CB3" w:rsidRDefault="001B6CB3" w:rsidP="00AC672A">
      <w:pPr>
        <w:jc w:val="both"/>
        <w:rPr>
          <w:rFonts w:ascii="Sylfaen" w:hAnsi="Sylfaen"/>
          <w:lang w:val="ka-GE"/>
        </w:rPr>
      </w:pPr>
      <w:r>
        <w:rPr>
          <w:noProof/>
        </w:rPr>
        <w:lastRenderedPageBreak/>
        <w:drawing>
          <wp:inline distT="0" distB="0" distL="0" distR="0" wp14:anchorId="0C6C9D6F" wp14:editId="68A7D3AF">
            <wp:extent cx="5943600" cy="3691255"/>
            <wp:effectExtent l="0" t="0" r="19050" b="2349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6CB3" w:rsidRPr="001B6CB3" w:rsidRDefault="001B6CB3" w:rsidP="00AC672A">
      <w:pPr>
        <w:jc w:val="both"/>
        <w:rPr>
          <w:rFonts w:ascii="Sylfaen" w:hAnsi="Sylfaen"/>
          <w:lang w:val="ka-GE"/>
        </w:rPr>
      </w:pPr>
      <w:r>
        <w:rPr>
          <w:noProof/>
        </w:rPr>
        <w:drawing>
          <wp:inline distT="0" distB="0" distL="0" distR="0" wp14:anchorId="3B03A5BA" wp14:editId="4873F348">
            <wp:extent cx="5943600" cy="3737610"/>
            <wp:effectExtent l="0" t="0" r="19050" b="1524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0AED" w:rsidRDefault="00040AED" w:rsidP="00AC672A">
      <w:pPr>
        <w:jc w:val="both"/>
        <w:rPr>
          <w:rFonts w:ascii="Sylfaen" w:hAnsi="Sylfaen"/>
          <w:lang w:val="ka-GE"/>
        </w:rPr>
      </w:pPr>
      <w:r>
        <w:rPr>
          <w:rFonts w:ascii="Sylfaen" w:hAnsi="Sylfaen"/>
          <w:lang w:val="ka-GE"/>
        </w:rPr>
        <w:t xml:space="preserve">საყურადღებოა შემთხვევათა გეოგრაფია. უმეტესი ნაწილი, </w:t>
      </w:r>
      <w:r w:rsidRPr="00DC364D">
        <w:rPr>
          <w:rFonts w:ascii="Sylfaen" w:hAnsi="Sylfaen"/>
          <w:b/>
          <w:lang w:val="ka-GE"/>
        </w:rPr>
        <w:t>50%</w:t>
      </w:r>
      <w:r>
        <w:rPr>
          <w:rFonts w:ascii="Sylfaen" w:hAnsi="Sylfaen"/>
          <w:lang w:val="ka-GE"/>
        </w:rPr>
        <w:t xml:space="preserve"> ფიქსირდება თბილისში, </w:t>
      </w:r>
      <w:r w:rsidRPr="00DC364D">
        <w:rPr>
          <w:rFonts w:ascii="Sylfaen" w:hAnsi="Sylfaen"/>
          <w:b/>
          <w:lang w:val="ka-GE"/>
        </w:rPr>
        <w:t>21%</w:t>
      </w:r>
      <w:r>
        <w:rPr>
          <w:rFonts w:ascii="Sylfaen" w:hAnsi="Sylfaen"/>
          <w:lang w:val="ka-GE"/>
        </w:rPr>
        <w:t xml:space="preserve"> მოდის იმერეთის რეგიონზე, </w:t>
      </w:r>
      <w:r w:rsidRPr="00DC364D">
        <w:rPr>
          <w:rFonts w:ascii="Sylfaen" w:hAnsi="Sylfaen"/>
          <w:b/>
          <w:lang w:val="ka-GE"/>
        </w:rPr>
        <w:t>10-10%</w:t>
      </w:r>
      <w:r>
        <w:rPr>
          <w:rFonts w:ascii="Sylfaen" w:hAnsi="Sylfaen"/>
          <w:lang w:val="ka-GE"/>
        </w:rPr>
        <w:t xml:space="preserve"> აჭარასა და შიდა ქართლზე, </w:t>
      </w:r>
      <w:r w:rsidRPr="00DC364D">
        <w:rPr>
          <w:rFonts w:ascii="Sylfaen" w:hAnsi="Sylfaen"/>
          <w:b/>
          <w:lang w:val="ka-GE"/>
        </w:rPr>
        <w:t>6%</w:t>
      </w:r>
      <w:r>
        <w:rPr>
          <w:rFonts w:ascii="Sylfaen" w:hAnsi="Sylfaen"/>
          <w:lang w:val="ka-GE"/>
        </w:rPr>
        <w:t xml:space="preserve"> ფიქსირდება ქვემო ქართლში, თითო-თითო პროცენტი მოდის გურია, სამეგრელოსა და სამცხე-ჯავახეთზე.</w:t>
      </w:r>
    </w:p>
    <w:p w:rsidR="00040AED" w:rsidRDefault="00040AED" w:rsidP="00AC672A">
      <w:pPr>
        <w:jc w:val="both"/>
        <w:rPr>
          <w:rFonts w:ascii="Sylfaen" w:hAnsi="Sylfaen"/>
          <w:lang w:val="ka-GE"/>
        </w:rPr>
      </w:pPr>
      <w:r>
        <w:rPr>
          <w:noProof/>
        </w:rPr>
        <w:lastRenderedPageBreak/>
        <w:drawing>
          <wp:inline distT="0" distB="0" distL="0" distR="0" wp14:anchorId="5DB599C1" wp14:editId="42C0FC2D">
            <wp:extent cx="6772589" cy="4039437"/>
            <wp:effectExtent l="0" t="0" r="9525"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6201" w:rsidRDefault="004551A4" w:rsidP="00AC672A">
      <w:pPr>
        <w:jc w:val="both"/>
        <w:rPr>
          <w:rFonts w:ascii="Sylfaen" w:hAnsi="Sylfaen"/>
          <w:lang w:val="ka-GE"/>
        </w:rPr>
      </w:pPr>
      <w:r>
        <w:rPr>
          <w:rFonts w:ascii="Sylfaen" w:hAnsi="Sylfaen"/>
          <w:lang w:val="ka-GE"/>
        </w:rPr>
        <w:t xml:space="preserve">პროგრამით განსაზღვრული სერვისის მიწოდებას ქვეყნის მასშტაბით უზრუნველყოფს </w:t>
      </w:r>
      <w:r w:rsidRPr="00DD601D">
        <w:rPr>
          <w:rFonts w:ascii="Sylfaen" w:hAnsi="Sylfaen"/>
          <w:b/>
          <w:lang w:val="ka-GE"/>
        </w:rPr>
        <w:t xml:space="preserve">18 </w:t>
      </w:r>
      <w:r>
        <w:rPr>
          <w:rFonts w:ascii="Sylfaen" w:hAnsi="Sylfaen"/>
          <w:lang w:val="ka-GE"/>
        </w:rPr>
        <w:t xml:space="preserve">დაწესებულება. მათ შორის, </w:t>
      </w:r>
      <w:r w:rsidRPr="00DD601D">
        <w:rPr>
          <w:rFonts w:ascii="Sylfaen" w:hAnsi="Sylfaen"/>
          <w:b/>
          <w:lang w:val="ka-GE"/>
        </w:rPr>
        <w:t>5</w:t>
      </w:r>
      <w:r>
        <w:rPr>
          <w:rFonts w:ascii="Sylfaen" w:hAnsi="Sylfaen"/>
          <w:lang w:val="ka-GE"/>
        </w:rPr>
        <w:t xml:space="preserve">-თბილისში, </w:t>
      </w:r>
      <w:r w:rsidRPr="00DD601D">
        <w:rPr>
          <w:rFonts w:ascii="Sylfaen" w:hAnsi="Sylfaen"/>
          <w:b/>
          <w:lang w:val="ka-GE"/>
        </w:rPr>
        <w:t>4</w:t>
      </w:r>
      <w:r>
        <w:rPr>
          <w:rFonts w:ascii="Sylfaen" w:hAnsi="Sylfaen"/>
          <w:lang w:val="ka-GE"/>
        </w:rPr>
        <w:t xml:space="preserve">-შიდა ქართლში, </w:t>
      </w:r>
      <w:r w:rsidRPr="00DD601D">
        <w:rPr>
          <w:rFonts w:ascii="Sylfaen" w:hAnsi="Sylfaen"/>
          <w:b/>
          <w:lang w:val="ka-GE"/>
        </w:rPr>
        <w:t>3</w:t>
      </w:r>
      <w:r>
        <w:rPr>
          <w:rFonts w:ascii="Sylfaen" w:hAnsi="Sylfaen"/>
          <w:lang w:val="ka-GE"/>
        </w:rPr>
        <w:t xml:space="preserve">-ქვემო ქართლში, </w:t>
      </w:r>
      <w:r w:rsidRPr="00DD601D">
        <w:rPr>
          <w:rFonts w:ascii="Sylfaen" w:hAnsi="Sylfaen"/>
          <w:b/>
          <w:lang w:val="ka-GE"/>
        </w:rPr>
        <w:t>2</w:t>
      </w:r>
      <w:r>
        <w:rPr>
          <w:rFonts w:ascii="Sylfaen" w:hAnsi="Sylfaen"/>
          <w:lang w:val="ka-GE"/>
        </w:rPr>
        <w:t xml:space="preserve">-აჭარაში, </w:t>
      </w:r>
      <w:r w:rsidRPr="00DD601D">
        <w:rPr>
          <w:rFonts w:ascii="Sylfaen" w:hAnsi="Sylfaen"/>
          <w:b/>
          <w:lang w:val="ka-GE"/>
        </w:rPr>
        <w:t>1</w:t>
      </w:r>
      <w:r>
        <w:rPr>
          <w:rFonts w:ascii="Sylfaen" w:hAnsi="Sylfaen"/>
          <w:lang w:val="ka-GE"/>
        </w:rPr>
        <w:t xml:space="preserve">-იმერეთში, </w:t>
      </w:r>
      <w:r w:rsidRPr="00DD601D">
        <w:rPr>
          <w:rFonts w:ascii="Sylfaen" w:hAnsi="Sylfaen"/>
          <w:b/>
          <w:lang w:val="ka-GE"/>
        </w:rPr>
        <w:t>1</w:t>
      </w:r>
      <w:r>
        <w:rPr>
          <w:rFonts w:ascii="Sylfaen" w:hAnsi="Sylfaen"/>
          <w:lang w:val="ka-GE"/>
        </w:rPr>
        <w:t xml:space="preserve">-სამეგრელოში, </w:t>
      </w:r>
      <w:r w:rsidRPr="00DD601D">
        <w:rPr>
          <w:rFonts w:ascii="Sylfaen" w:hAnsi="Sylfaen"/>
          <w:b/>
          <w:lang w:val="ka-GE"/>
        </w:rPr>
        <w:t>1</w:t>
      </w:r>
      <w:r>
        <w:rPr>
          <w:rFonts w:ascii="Sylfaen" w:hAnsi="Sylfaen"/>
          <w:lang w:val="ka-GE"/>
        </w:rPr>
        <w:t xml:space="preserve">-გურიაში, </w:t>
      </w:r>
      <w:r w:rsidR="00AE6201" w:rsidRPr="00DD601D">
        <w:rPr>
          <w:rFonts w:ascii="Sylfaen" w:hAnsi="Sylfaen"/>
          <w:b/>
          <w:lang w:val="ka-GE"/>
        </w:rPr>
        <w:t>1</w:t>
      </w:r>
      <w:r w:rsidR="00AE6201">
        <w:rPr>
          <w:rFonts w:ascii="Sylfaen" w:hAnsi="Sylfaen"/>
          <w:lang w:val="ka-GE"/>
        </w:rPr>
        <w:t xml:space="preserve">-სამცხე-ჯავახეთში. </w:t>
      </w:r>
    </w:p>
    <w:p w:rsidR="00E60F78" w:rsidRDefault="004551A4" w:rsidP="00AC672A">
      <w:pPr>
        <w:jc w:val="both"/>
        <w:rPr>
          <w:rFonts w:ascii="Sylfaen" w:hAnsi="Sylfaen"/>
          <w:lang w:val="ka-GE"/>
        </w:rPr>
      </w:pPr>
      <w:r>
        <w:rPr>
          <w:rFonts w:ascii="Sylfaen" w:hAnsi="Sylfaen"/>
          <w:lang w:val="ka-GE"/>
        </w:rPr>
        <w:t xml:space="preserve">მიმწოდებელ დაწესებულებათა შორის, </w:t>
      </w:r>
      <w:r w:rsidR="00AE6201">
        <w:rPr>
          <w:rFonts w:ascii="Sylfaen" w:hAnsi="Sylfaen"/>
          <w:lang w:val="ka-GE"/>
        </w:rPr>
        <w:t xml:space="preserve">თვეში </w:t>
      </w:r>
      <w:r w:rsidR="00AE6201" w:rsidRPr="00DD601D">
        <w:rPr>
          <w:rFonts w:ascii="Sylfaen" w:hAnsi="Sylfaen"/>
          <w:b/>
          <w:lang w:val="ka-GE"/>
        </w:rPr>
        <w:t>50 000</w:t>
      </w:r>
      <w:r w:rsidR="00AE6201">
        <w:rPr>
          <w:rFonts w:ascii="Sylfaen" w:hAnsi="Sylfaen"/>
          <w:lang w:val="ka-GE"/>
        </w:rPr>
        <w:t xml:space="preserve"> ლარზე მეტი ხარჯვა უფიქსირდება </w:t>
      </w:r>
      <w:r w:rsidR="00AE6201" w:rsidRPr="00DD601D">
        <w:rPr>
          <w:rFonts w:ascii="Sylfaen" w:hAnsi="Sylfaen"/>
          <w:b/>
          <w:lang w:val="ka-GE"/>
        </w:rPr>
        <w:t xml:space="preserve">5 </w:t>
      </w:r>
      <w:r w:rsidR="00AE6201">
        <w:rPr>
          <w:rFonts w:ascii="Sylfaen" w:hAnsi="Sylfaen"/>
          <w:lang w:val="ka-GE"/>
        </w:rPr>
        <w:t xml:space="preserve">დაწესებულებას. მათ შორის, </w:t>
      </w:r>
      <w:r w:rsidR="00AE6201" w:rsidRPr="00AE6201">
        <w:rPr>
          <w:rFonts w:ascii="Sylfaen" w:hAnsi="Sylfaen"/>
          <w:lang w:val="ka-GE"/>
        </w:rPr>
        <w:t>სს ინფექციური პათოლოგიის შიდსისა და კლინიკური იმუნოლოგიის სამეცნიერო-პრაქტიკული ცენტრი</w:t>
      </w:r>
      <w:r w:rsidR="00AE6201">
        <w:rPr>
          <w:rFonts w:ascii="Sylfaen" w:hAnsi="Sylfaen"/>
          <w:lang w:val="ka-GE"/>
        </w:rPr>
        <w:t xml:space="preserve">, </w:t>
      </w:r>
      <w:r w:rsidR="00AE6201" w:rsidRPr="00AE6201">
        <w:rPr>
          <w:rFonts w:ascii="Sylfaen" w:hAnsi="Sylfaen"/>
          <w:lang w:val="ka-GE"/>
        </w:rPr>
        <w:t>შპს "ქ.თბილისის ბავშვთა ინფექციური კლინიკური საავადმყოფო"</w:t>
      </w:r>
      <w:r w:rsidR="00AE6201">
        <w:rPr>
          <w:rFonts w:ascii="Sylfaen" w:hAnsi="Sylfaen"/>
          <w:lang w:val="ka-GE"/>
        </w:rPr>
        <w:t xml:space="preserve">, </w:t>
      </w:r>
      <w:r w:rsidR="00AE6201" w:rsidRPr="00AE6201">
        <w:rPr>
          <w:rFonts w:ascii="Sylfaen" w:hAnsi="Sylfaen"/>
          <w:lang w:val="ka-GE"/>
        </w:rPr>
        <w:t>შპს აკადემიკოს ვახტანგ ბოჭორიშვილის სახელობის სეფსისის და ინფექციურ პათოლოგიათა კლინიკა</w:t>
      </w:r>
      <w:r w:rsidR="00AE6201">
        <w:rPr>
          <w:rFonts w:ascii="Sylfaen" w:hAnsi="Sylfaen"/>
          <w:lang w:val="ka-GE"/>
        </w:rPr>
        <w:t xml:space="preserve">, </w:t>
      </w:r>
      <w:r w:rsidR="00AE6201" w:rsidRPr="00AE6201">
        <w:rPr>
          <w:rFonts w:ascii="Sylfaen" w:hAnsi="Sylfaen"/>
          <w:lang w:val="ka-GE"/>
        </w:rPr>
        <w:t>შპს მულტიპროფილური ჰოსპიტალი - მედიქალ სიტი და ინფექციურ დაავადებათა მართვის ცენტრი</w:t>
      </w:r>
      <w:r w:rsidR="00AE6201">
        <w:rPr>
          <w:rFonts w:ascii="Sylfaen" w:hAnsi="Sylfaen"/>
          <w:lang w:val="ka-GE"/>
        </w:rPr>
        <w:t xml:space="preserve">, </w:t>
      </w:r>
      <w:r w:rsidR="00AE6201" w:rsidRPr="00AE6201">
        <w:rPr>
          <w:rFonts w:ascii="Sylfaen" w:hAnsi="Sylfaen"/>
          <w:lang w:val="ka-GE"/>
        </w:rPr>
        <w:t>შპს უნიმედი კახეთი (ბათუმი)</w:t>
      </w:r>
      <w:r w:rsidR="00AE6201">
        <w:rPr>
          <w:rFonts w:ascii="Sylfaen" w:hAnsi="Sylfaen"/>
          <w:lang w:val="ka-GE"/>
        </w:rPr>
        <w:t>.</w:t>
      </w:r>
    </w:p>
    <w:p w:rsidR="00E60F78" w:rsidRDefault="00E60F78">
      <w:pPr>
        <w:rPr>
          <w:rFonts w:ascii="Sylfaen" w:hAnsi="Sylfaen"/>
          <w:lang w:val="ka-GE"/>
        </w:rPr>
      </w:pPr>
      <w:r>
        <w:rPr>
          <w:rFonts w:ascii="Sylfaen" w:hAnsi="Sylfaen"/>
          <w:lang w:val="ka-GE"/>
        </w:rPr>
        <w:br w:type="page"/>
      </w:r>
    </w:p>
    <w:p w:rsidR="004551A4" w:rsidRDefault="00E60F78" w:rsidP="00AC672A">
      <w:pPr>
        <w:jc w:val="both"/>
        <w:rPr>
          <w:rFonts w:ascii="Sylfaen" w:hAnsi="Sylfaen"/>
          <w:lang w:val="ka-GE"/>
        </w:rPr>
      </w:pPr>
      <w:r>
        <w:rPr>
          <w:noProof/>
        </w:rPr>
        <w:lastRenderedPageBreak/>
        <w:drawing>
          <wp:inline distT="0" distB="0" distL="0" distR="0" wp14:anchorId="219A8634" wp14:editId="1314872F">
            <wp:extent cx="5943600" cy="3340735"/>
            <wp:effectExtent l="0" t="0" r="1905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0F78" w:rsidRDefault="00E60F78" w:rsidP="00AC672A">
      <w:pPr>
        <w:jc w:val="both"/>
        <w:rPr>
          <w:rFonts w:ascii="Sylfaen" w:hAnsi="Sylfaen"/>
          <w:lang w:val="ka-GE"/>
        </w:rPr>
      </w:pPr>
    </w:p>
    <w:p w:rsidR="00E60F78" w:rsidRDefault="00E60F78" w:rsidP="00AC672A">
      <w:pPr>
        <w:jc w:val="both"/>
        <w:rPr>
          <w:rFonts w:ascii="Sylfaen" w:hAnsi="Sylfaen"/>
          <w:lang w:val="ka-GE"/>
        </w:rPr>
      </w:pPr>
      <w:r>
        <w:rPr>
          <w:rFonts w:ascii="Sylfaen" w:hAnsi="Sylfaen"/>
          <w:lang w:val="ka-GE"/>
        </w:rPr>
        <w:t>ივლის</w:t>
      </w:r>
      <w:r w:rsidR="00CF35F4">
        <w:rPr>
          <w:rFonts w:ascii="Sylfaen" w:hAnsi="Sylfaen"/>
          <w:lang w:val="ka-GE"/>
        </w:rPr>
        <w:t>ს</w:t>
      </w:r>
      <w:r>
        <w:rPr>
          <w:rFonts w:ascii="Sylfaen" w:hAnsi="Sylfaen"/>
          <w:lang w:val="ka-GE"/>
        </w:rPr>
        <w:t xml:space="preserve">-აგვისტოში შემთხვევათა და შესაბამისად, ხარჯვის </w:t>
      </w:r>
      <w:r w:rsidR="00CF35F4">
        <w:rPr>
          <w:rFonts w:ascii="Sylfaen" w:hAnsi="Sylfaen"/>
          <w:lang w:val="ka-GE"/>
        </w:rPr>
        <w:t xml:space="preserve">მკვეთრი </w:t>
      </w:r>
      <w:r>
        <w:rPr>
          <w:rFonts w:ascii="Sylfaen" w:hAnsi="Sylfaen"/>
          <w:lang w:val="ka-GE"/>
        </w:rPr>
        <w:t>მატება ფიქსირდება რამდენიმე დაწესებულებაში</w:t>
      </w:r>
      <w:r w:rsidR="00CF35F4">
        <w:rPr>
          <w:rFonts w:ascii="Sylfaen" w:hAnsi="Sylfaen"/>
          <w:lang w:val="ka-GE"/>
        </w:rPr>
        <w:t xml:space="preserve">. მათ შორის, შპს ,,გორმედი“, სს ,,რუსთავის ბავშვთა საავადმყოფო“, </w:t>
      </w:r>
      <w:r w:rsidR="00CF35F4" w:rsidRPr="00AE6201">
        <w:rPr>
          <w:rFonts w:ascii="Sylfaen" w:hAnsi="Sylfaen"/>
          <w:lang w:val="ka-GE"/>
        </w:rPr>
        <w:t>შპს "ქ.თბილისის ბავშვთა ინფექციური კლინიკური საავადმყოფო"</w:t>
      </w:r>
      <w:r w:rsidR="00CF35F4">
        <w:rPr>
          <w:rFonts w:ascii="Sylfaen" w:hAnsi="Sylfaen"/>
          <w:lang w:val="ka-GE"/>
        </w:rPr>
        <w:t xml:space="preserve">, </w:t>
      </w:r>
      <w:r w:rsidR="00CF35F4" w:rsidRPr="00AE6201">
        <w:rPr>
          <w:rFonts w:ascii="Sylfaen" w:hAnsi="Sylfaen"/>
          <w:lang w:val="ka-GE"/>
        </w:rPr>
        <w:t>შპს უნიმედი კახეთი (ბათუმი)</w:t>
      </w:r>
      <w:r w:rsidR="00CF35F4">
        <w:rPr>
          <w:rFonts w:ascii="Sylfaen" w:hAnsi="Sylfaen"/>
          <w:lang w:val="ka-GE"/>
        </w:rPr>
        <w:t>, სს ,,იავნანა“.</w:t>
      </w:r>
    </w:p>
    <w:p w:rsidR="00CF35F4" w:rsidRDefault="00CF35F4" w:rsidP="00AC672A">
      <w:pPr>
        <w:jc w:val="both"/>
        <w:rPr>
          <w:rFonts w:ascii="Sylfaen" w:hAnsi="Sylfaen"/>
          <w:lang w:val="ka-GE"/>
        </w:rPr>
      </w:pPr>
      <w:r>
        <w:rPr>
          <w:noProof/>
        </w:rPr>
        <w:drawing>
          <wp:inline distT="0" distB="0" distL="0" distR="0" wp14:anchorId="515D6480" wp14:editId="06E55513">
            <wp:extent cx="5943600" cy="3346450"/>
            <wp:effectExtent l="0" t="0" r="1905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lastRenderedPageBreak/>
        <w:drawing>
          <wp:inline distT="0" distB="0" distL="0" distR="0" wp14:anchorId="1AE4FBA0" wp14:editId="323F2CC0">
            <wp:extent cx="6320413" cy="4200211"/>
            <wp:effectExtent l="0" t="0" r="23495"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drawing>
          <wp:inline distT="0" distB="0" distL="0" distR="0" wp14:anchorId="5E1000FB" wp14:editId="4DCFEC45">
            <wp:extent cx="6189785" cy="3577213"/>
            <wp:effectExtent l="0" t="0" r="20955" b="234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lastRenderedPageBreak/>
        <w:drawing>
          <wp:inline distT="0" distB="0" distL="0" distR="0" wp14:anchorId="333C0D37" wp14:editId="2DA7ABD9">
            <wp:extent cx="6189785" cy="3848519"/>
            <wp:effectExtent l="0" t="0" r="2095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drawing>
          <wp:inline distT="0" distB="0" distL="0" distR="0" wp14:anchorId="11EC813A" wp14:editId="59527BAD">
            <wp:extent cx="6189785" cy="3486778"/>
            <wp:effectExtent l="0" t="0" r="2095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rFonts w:ascii="Sylfaen" w:hAnsi="Sylfaen"/>
          <w:lang w:val="ka-GE"/>
        </w:rPr>
        <w:t xml:space="preserve">სტაბილურად ხარჯვის მაღალი მაჩვენებლებით გამოირჩევა </w:t>
      </w:r>
      <w:r w:rsidRPr="00CF35F4">
        <w:rPr>
          <w:rFonts w:ascii="Sylfaen" w:hAnsi="Sylfaen"/>
          <w:lang w:val="ka-GE"/>
        </w:rPr>
        <w:t>შპს სამედიცინო პარაზიტოლოგიისა და ტროპიკული მედიცინის კვლევის ინსტიტუტი</w:t>
      </w:r>
      <w:r>
        <w:rPr>
          <w:rFonts w:ascii="Sylfaen" w:hAnsi="Sylfaen"/>
          <w:lang w:val="ka-GE"/>
        </w:rPr>
        <w:t xml:space="preserve">, </w:t>
      </w:r>
      <w:r w:rsidRPr="00CF35F4">
        <w:rPr>
          <w:rFonts w:ascii="Sylfaen" w:hAnsi="Sylfaen"/>
          <w:lang w:val="ka-GE"/>
        </w:rPr>
        <w:t xml:space="preserve">შპს მულტიპროფილური ჰოსპიტალი - მედიქალ სიტი და ინფექციურ დაავადებათა მართვის </w:t>
      </w:r>
      <w:r w:rsidRPr="00CF35F4">
        <w:rPr>
          <w:rFonts w:ascii="Sylfaen" w:hAnsi="Sylfaen"/>
          <w:lang w:val="ka-GE"/>
        </w:rPr>
        <w:lastRenderedPageBreak/>
        <w:t>ცენტრი</w:t>
      </w:r>
      <w:r>
        <w:rPr>
          <w:rFonts w:ascii="Sylfaen" w:hAnsi="Sylfaen"/>
          <w:lang w:val="ka-GE"/>
        </w:rPr>
        <w:t xml:space="preserve">, </w:t>
      </w:r>
      <w:r w:rsidRPr="00CF35F4">
        <w:rPr>
          <w:rFonts w:ascii="Sylfaen" w:hAnsi="Sylfaen"/>
          <w:lang w:val="ka-GE"/>
        </w:rPr>
        <w:t>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lang w:val="ka-GE"/>
        </w:rPr>
        <w:t xml:space="preserve">, </w:t>
      </w:r>
      <w:r w:rsidRPr="00CF35F4">
        <w:rPr>
          <w:rFonts w:ascii="Sylfaen" w:hAnsi="Sylfaen"/>
          <w:lang w:val="ka-GE"/>
        </w:rPr>
        <w:t>შპს აკადემიკოს ვახტანგ ბოჭორიშვილის სახელობის სეფსისის და ინფექციურ პათოლოგიათა კლინიკა</w:t>
      </w:r>
      <w:r w:rsidR="00DC7266">
        <w:rPr>
          <w:rFonts w:ascii="Sylfaen" w:hAnsi="Sylfaen"/>
          <w:lang w:val="ka-GE"/>
        </w:rPr>
        <w:t>.</w:t>
      </w:r>
    </w:p>
    <w:p w:rsidR="00DC7266" w:rsidRDefault="00DC7266" w:rsidP="00AC672A">
      <w:pPr>
        <w:jc w:val="both"/>
        <w:rPr>
          <w:rFonts w:ascii="Sylfaen" w:hAnsi="Sylfaen"/>
          <w:lang w:val="ka-GE"/>
        </w:rPr>
      </w:pPr>
      <w:r>
        <w:rPr>
          <w:noProof/>
        </w:rPr>
        <w:drawing>
          <wp:inline distT="0" distB="0" distL="0" distR="0" wp14:anchorId="7AE538B8" wp14:editId="5E82B2F0">
            <wp:extent cx="5943600" cy="3696335"/>
            <wp:effectExtent l="0" t="0" r="19050" b="184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7266" w:rsidRDefault="00DC7266" w:rsidP="00AC672A">
      <w:pPr>
        <w:jc w:val="both"/>
        <w:rPr>
          <w:rFonts w:ascii="Sylfaen" w:hAnsi="Sylfaen"/>
          <w:lang w:val="ka-GE"/>
        </w:rPr>
      </w:pPr>
      <w:r>
        <w:rPr>
          <w:noProof/>
        </w:rPr>
        <w:drawing>
          <wp:inline distT="0" distB="0" distL="0" distR="0" wp14:anchorId="0E9CACFA" wp14:editId="7295C62B">
            <wp:extent cx="5943600" cy="3070860"/>
            <wp:effectExtent l="0" t="0" r="1905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C7266" w:rsidRDefault="00DC7266" w:rsidP="00AC672A">
      <w:pPr>
        <w:jc w:val="both"/>
        <w:rPr>
          <w:rFonts w:ascii="Sylfaen" w:hAnsi="Sylfaen"/>
          <w:lang w:val="ka-GE"/>
        </w:rPr>
      </w:pPr>
    </w:p>
    <w:p w:rsidR="00DC7266" w:rsidRDefault="00DC7266" w:rsidP="00AC672A">
      <w:pPr>
        <w:jc w:val="both"/>
        <w:rPr>
          <w:rFonts w:ascii="Sylfaen" w:hAnsi="Sylfaen"/>
          <w:lang w:val="ka-GE"/>
        </w:rPr>
      </w:pPr>
      <w:r>
        <w:rPr>
          <w:noProof/>
        </w:rPr>
        <w:lastRenderedPageBreak/>
        <w:drawing>
          <wp:inline distT="0" distB="0" distL="0" distR="0" wp14:anchorId="2323B257" wp14:editId="22C5352F">
            <wp:extent cx="5943600" cy="3436620"/>
            <wp:effectExtent l="0" t="0" r="1905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C7266" w:rsidRDefault="00DC7266" w:rsidP="00AC672A">
      <w:pPr>
        <w:jc w:val="both"/>
        <w:rPr>
          <w:rFonts w:ascii="Sylfaen" w:hAnsi="Sylfaen"/>
          <w:lang w:val="ka-GE"/>
        </w:rPr>
      </w:pPr>
    </w:p>
    <w:p w:rsidR="00DC7266" w:rsidRDefault="00DC7266" w:rsidP="00AC672A">
      <w:pPr>
        <w:jc w:val="both"/>
        <w:rPr>
          <w:rFonts w:ascii="Sylfaen" w:hAnsi="Sylfaen"/>
          <w:lang w:val="ka-GE"/>
        </w:rPr>
      </w:pPr>
      <w:r>
        <w:rPr>
          <w:noProof/>
        </w:rPr>
        <w:drawing>
          <wp:inline distT="0" distB="0" distL="0" distR="0" wp14:anchorId="4C552725" wp14:editId="4E24379E">
            <wp:extent cx="5938576" cy="3516923"/>
            <wp:effectExtent l="0" t="0" r="24130" b="266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25623" w:rsidRDefault="00C25623" w:rsidP="00AC672A">
      <w:pPr>
        <w:jc w:val="both"/>
        <w:rPr>
          <w:rFonts w:ascii="Sylfaen" w:hAnsi="Sylfaen"/>
          <w:lang w:val="ka-GE"/>
        </w:rPr>
      </w:pPr>
    </w:p>
    <w:p w:rsidR="00C25623" w:rsidRDefault="00C25623" w:rsidP="00AC672A">
      <w:pPr>
        <w:jc w:val="both"/>
        <w:rPr>
          <w:rFonts w:ascii="Sylfaen" w:hAnsi="Sylfaen"/>
          <w:lang w:val="ka-GE"/>
        </w:rPr>
      </w:pPr>
    </w:p>
    <w:p w:rsidR="00C25623" w:rsidRDefault="00C25623" w:rsidP="00AC672A">
      <w:pPr>
        <w:jc w:val="both"/>
        <w:rPr>
          <w:rFonts w:ascii="Sylfaen" w:hAnsi="Sylfaen"/>
          <w:lang w:val="ka-GE"/>
        </w:rPr>
      </w:pPr>
    </w:p>
    <w:p w:rsidR="00703039" w:rsidRDefault="00C25623" w:rsidP="00AC672A">
      <w:pPr>
        <w:jc w:val="both"/>
        <w:rPr>
          <w:rFonts w:ascii="Sylfaen" w:hAnsi="Sylfaen"/>
          <w:lang w:val="ka-GE"/>
        </w:rPr>
      </w:pPr>
      <w:r>
        <w:rPr>
          <w:rFonts w:ascii="Sylfaen" w:hAnsi="Sylfaen"/>
          <w:lang w:val="ka-GE"/>
        </w:rPr>
        <w:t xml:space="preserve">მიწოდებული სერვისების მიხედვით, იკვეთება შემდეგი სურათი, სხვა ნაწლავთა ინფექციების კოდით შემთხვევებს უპირატესად აწვდის </w:t>
      </w:r>
      <w:r w:rsidRPr="00AE6201">
        <w:rPr>
          <w:rFonts w:ascii="Sylfaen" w:hAnsi="Sylfaen"/>
          <w:lang w:val="ka-GE"/>
        </w:rPr>
        <w:t>შპს "ქ.თბილისის ბავშვთა ინფექციური კლინიკური საავადმყოფო"</w:t>
      </w:r>
      <w:r>
        <w:rPr>
          <w:rFonts w:ascii="Sylfaen" w:hAnsi="Sylfaen"/>
          <w:lang w:val="ka-GE"/>
        </w:rPr>
        <w:t>-</w:t>
      </w:r>
      <w:r w:rsidRPr="00DD601D">
        <w:rPr>
          <w:rFonts w:ascii="Sylfaen" w:hAnsi="Sylfaen"/>
          <w:b/>
          <w:lang w:val="ka-GE"/>
        </w:rPr>
        <w:t>28%</w:t>
      </w:r>
      <w:r>
        <w:rPr>
          <w:rFonts w:ascii="Sylfaen" w:hAnsi="Sylfaen"/>
          <w:lang w:val="ka-GE"/>
        </w:rPr>
        <w:t xml:space="preserve">, </w:t>
      </w:r>
      <w:r w:rsidRPr="00DD601D">
        <w:rPr>
          <w:rFonts w:ascii="Sylfaen" w:hAnsi="Sylfaen"/>
          <w:b/>
          <w:lang w:val="ka-GE"/>
        </w:rPr>
        <w:t>19%</w:t>
      </w:r>
      <w:r>
        <w:rPr>
          <w:rFonts w:ascii="Sylfaen" w:hAnsi="Sylfaen"/>
          <w:lang w:val="ka-GE"/>
        </w:rPr>
        <w:t xml:space="preserve"> ატარებს </w:t>
      </w:r>
      <w:r w:rsidRPr="00C25623">
        <w:rPr>
          <w:rFonts w:ascii="Sylfaen" w:hAnsi="Sylfaen"/>
          <w:lang w:val="ka-GE"/>
        </w:rPr>
        <w:t xml:space="preserve">სს ინფექციური პათოლოგიის </w:t>
      </w:r>
      <w:r w:rsidRPr="00C25623">
        <w:rPr>
          <w:rFonts w:ascii="Sylfaen" w:hAnsi="Sylfaen"/>
          <w:lang w:val="ka-GE"/>
        </w:rPr>
        <w:lastRenderedPageBreak/>
        <w:t>შიდსისა და კლინიკური იმუნოლოგიის სამეცნიერო-პრაქტიკული ცენტრი</w:t>
      </w:r>
      <w:r>
        <w:rPr>
          <w:rFonts w:ascii="Sylfaen" w:hAnsi="Sylfaen"/>
          <w:lang w:val="ka-GE"/>
        </w:rPr>
        <w:t xml:space="preserve">, </w:t>
      </w:r>
      <w:r w:rsidRPr="00DD601D">
        <w:rPr>
          <w:rFonts w:ascii="Sylfaen" w:hAnsi="Sylfaen"/>
          <w:b/>
          <w:lang w:val="ka-GE"/>
        </w:rPr>
        <w:t>15%</w:t>
      </w:r>
      <w:r>
        <w:rPr>
          <w:rFonts w:ascii="Sylfaen" w:hAnsi="Sylfaen"/>
          <w:lang w:val="ka-GE"/>
        </w:rPr>
        <w:t xml:space="preserve"> -</w:t>
      </w:r>
      <w:r w:rsidRPr="00C25623">
        <w:rPr>
          <w:rFonts w:ascii="Sylfaen" w:hAnsi="Sylfaen"/>
          <w:lang w:val="ka-GE"/>
        </w:rPr>
        <w:t>შპს "უნიმედი კახეთი"-ბათუმის დედათა და ბავშვთა ჯანმრთელობის ცენტრი"</w:t>
      </w:r>
      <w:r>
        <w:rPr>
          <w:rFonts w:ascii="Sylfaen" w:hAnsi="Sylfaen"/>
          <w:lang w:val="ka-GE"/>
        </w:rPr>
        <w:t xml:space="preserve">, </w:t>
      </w:r>
      <w:r w:rsidRPr="00DD601D">
        <w:rPr>
          <w:rFonts w:ascii="Sylfaen" w:hAnsi="Sylfaen"/>
          <w:b/>
          <w:lang w:val="ka-GE"/>
        </w:rPr>
        <w:t>8-8%-ით</w:t>
      </w:r>
      <w:r>
        <w:rPr>
          <w:rFonts w:ascii="Sylfaen" w:hAnsi="Sylfaen"/>
          <w:lang w:val="ka-GE"/>
        </w:rPr>
        <w:t xml:space="preserve"> ფიქსირდება </w:t>
      </w:r>
      <w:r w:rsidRPr="00C25623">
        <w:rPr>
          <w:rFonts w:ascii="Sylfaen" w:hAnsi="Sylfaen"/>
          <w:lang w:val="ka-GE"/>
        </w:rPr>
        <w:t>სს "რუსთავის ბავშვთა საავადმყოფო</w:t>
      </w:r>
      <w:r>
        <w:rPr>
          <w:rFonts w:ascii="Sylfaen" w:hAnsi="Sylfaen"/>
          <w:lang w:val="ka-GE"/>
        </w:rPr>
        <w:t xml:space="preserve">სა“ და </w:t>
      </w:r>
      <w:r w:rsidRPr="00C25623">
        <w:rPr>
          <w:rFonts w:ascii="Sylfaen" w:hAnsi="Sylfaen"/>
          <w:lang w:val="ka-GE"/>
        </w:rPr>
        <w:t>შპს მულტიპროფილური ჰოსპიტალი - მედიქალ სიტი და ინფექციურ დაავადებათა მართვის ცენტრი</w:t>
      </w:r>
      <w:r w:rsidR="00703039">
        <w:rPr>
          <w:rFonts w:ascii="Sylfaen" w:hAnsi="Sylfaen"/>
          <w:lang w:val="ka-GE"/>
        </w:rPr>
        <w:t xml:space="preserve">ს მიერ გატარებული შემთხვევები, </w:t>
      </w:r>
      <w:r w:rsidR="00703039" w:rsidRPr="00DD601D">
        <w:rPr>
          <w:rFonts w:ascii="Sylfaen" w:hAnsi="Sylfaen"/>
          <w:b/>
          <w:lang w:val="ka-GE"/>
        </w:rPr>
        <w:t>4%</w:t>
      </w:r>
      <w:r w:rsidR="00703039">
        <w:rPr>
          <w:rFonts w:ascii="Sylfaen" w:hAnsi="Sylfaen"/>
          <w:lang w:val="ka-GE"/>
        </w:rPr>
        <w:t xml:space="preserve"> მოდის შპს გორმედზე და სხვა დანარჩენი ნაწილდება შემდეგი სახით:</w:t>
      </w:r>
    </w:p>
    <w:p w:rsidR="00703039" w:rsidRDefault="00703039" w:rsidP="00AC672A">
      <w:pPr>
        <w:jc w:val="both"/>
        <w:rPr>
          <w:rFonts w:ascii="Sylfaen" w:hAnsi="Sylfaen"/>
          <w:lang w:val="ka-GE"/>
        </w:rPr>
      </w:pPr>
      <w:r>
        <w:rPr>
          <w:noProof/>
        </w:rPr>
        <w:lastRenderedPageBreak/>
        <w:drawing>
          <wp:inline distT="0" distB="0" distL="0" distR="0" wp14:anchorId="0DFD5E88" wp14:editId="1BC6761A">
            <wp:extent cx="6762541" cy="8490857"/>
            <wp:effectExtent l="0" t="0" r="19685" b="247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03039" w:rsidRDefault="00703039" w:rsidP="00AC672A">
      <w:pPr>
        <w:jc w:val="both"/>
        <w:rPr>
          <w:rFonts w:ascii="Sylfaen" w:hAnsi="Sylfaen"/>
          <w:lang w:val="ka-GE"/>
        </w:rPr>
      </w:pPr>
      <w:r>
        <w:rPr>
          <w:rFonts w:ascii="Sylfaen" w:hAnsi="Sylfaen"/>
          <w:lang w:val="ka-GE"/>
        </w:rPr>
        <w:t xml:space="preserve">ჰემოკოლიტით მიმდინარე ნაწლავთა ინფექციების საერთო რაოდენობის </w:t>
      </w:r>
      <w:r w:rsidRPr="00DD601D">
        <w:rPr>
          <w:rFonts w:ascii="Sylfaen" w:hAnsi="Sylfaen"/>
          <w:b/>
          <w:lang w:val="ka-GE"/>
        </w:rPr>
        <w:t>79</w:t>
      </w:r>
      <w:r>
        <w:rPr>
          <w:rFonts w:ascii="Sylfaen" w:hAnsi="Sylfaen"/>
          <w:lang w:val="ka-GE"/>
        </w:rPr>
        <w:t xml:space="preserve"> პროცენტს ატარებს </w:t>
      </w:r>
      <w:r w:rsidRPr="00703039">
        <w:rPr>
          <w:rFonts w:ascii="Sylfaen" w:hAnsi="Sylfaen"/>
          <w:lang w:val="ka-GE"/>
        </w:rPr>
        <w:t>შპს "ქ.თბილისის ბავშვთა ინფექციური კლინიკური საავადმყოფო"</w:t>
      </w:r>
      <w:r>
        <w:rPr>
          <w:rFonts w:ascii="Sylfaen" w:hAnsi="Sylfaen"/>
          <w:lang w:val="ka-GE"/>
        </w:rPr>
        <w:t xml:space="preserve">, </w:t>
      </w:r>
      <w:r w:rsidRPr="00DD601D">
        <w:rPr>
          <w:rFonts w:ascii="Sylfaen" w:hAnsi="Sylfaen"/>
          <w:b/>
          <w:lang w:val="ka-GE"/>
        </w:rPr>
        <w:t>16%-ს</w:t>
      </w:r>
      <w:r>
        <w:rPr>
          <w:rFonts w:ascii="Sylfaen" w:hAnsi="Sylfaen"/>
          <w:lang w:val="ka-GE"/>
        </w:rPr>
        <w:t xml:space="preserve"> </w:t>
      </w:r>
      <w:r w:rsidRPr="00703039">
        <w:rPr>
          <w:rFonts w:ascii="Sylfaen" w:hAnsi="Sylfaen"/>
          <w:lang w:val="ka-GE"/>
        </w:rPr>
        <w:t xml:space="preserve">შპს </w:t>
      </w:r>
      <w:r w:rsidRPr="00703039">
        <w:rPr>
          <w:rFonts w:ascii="Sylfaen" w:hAnsi="Sylfaen"/>
          <w:lang w:val="ka-GE"/>
        </w:rPr>
        <w:lastRenderedPageBreak/>
        <w:t>მულტიპროფილური ჰოსპიტალი - მედიქალ სიტი და ინფექციურ დაავადებათა მართვის ცენტრი</w:t>
      </w:r>
      <w:r>
        <w:rPr>
          <w:rFonts w:ascii="Sylfaen" w:hAnsi="Sylfaen"/>
          <w:lang w:val="ka-GE"/>
        </w:rPr>
        <w:t>, სხვა დანარჩენ დაწესებულებებზე შესრულება ნაწილდება შემდეგი სახით:</w:t>
      </w:r>
    </w:p>
    <w:p w:rsidR="00703039" w:rsidRDefault="00703039" w:rsidP="00AC672A">
      <w:pPr>
        <w:jc w:val="both"/>
        <w:rPr>
          <w:rFonts w:ascii="Sylfaen" w:hAnsi="Sylfaen"/>
          <w:lang w:val="ka-GE"/>
        </w:rPr>
      </w:pPr>
    </w:p>
    <w:p w:rsidR="00703039" w:rsidRDefault="00703039" w:rsidP="00AC672A">
      <w:pPr>
        <w:jc w:val="both"/>
        <w:rPr>
          <w:rFonts w:ascii="Sylfaen" w:hAnsi="Sylfaen"/>
          <w:lang w:val="ka-GE"/>
        </w:rPr>
      </w:pPr>
    </w:p>
    <w:p w:rsidR="00703039" w:rsidRDefault="00703039" w:rsidP="00AC672A">
      <w:pPr>
        <w:jc w:val="both"/>
        <w:rPr>
          <w:rFonts w:ascii="Sylfaen" w:hAnsi="Sylfaen"/>
          <w:lang w:val="ka-GE"/>
        </w:rPr>
      </w:pPr>
    </w:p>
    <w:p w:rsidR="00703039" w:rsidRDefault="00703039" w:rsidP="00AC672A">
      <w:pPr>
        <w:jc w:val="both"/>
        <w:rPr>
          <w:rFonts w:ascii="Sylfaen" w:hAnsi="Sylfaen"/>
          <w:lang w:val="ka-GE"/>
        </w:rPr>
      </w:pPr>
      <w:r>
        <w:rPr>
          <w:noProof/>
        </w:rPr>
        <w:drawing>
          <wp:inline distT="0" distB="0" distL="0" distR="0" wp14:anchorId="04009E89" wp14:editId="26CEACC9">
            <wp:extent cx="6250075" cy="7174523"/>
            <wp:effectExtent l="0" t="0" r="17780" b="2667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305D4" w:rsidRDefault="009305D4" w:rsidP="00AC672A">
      <w:pPr>
        <w:jc w:val="both"/>
        <w:rPr>
          <w:rFonts w:ascii="Sylfaen" w:hAnsi="Sylfaen"/>
          <w:lang w:val="ka-GE"/>
        </w:rPr>
      </w:pPr>
      <w:r>
        <w:rPr>
          <w:rFonts w:ascii="Sylfaen" w:hAnsi="Sylfaen"/>
          <w:lang w:val="ka-GE"/>
        </w:rPr>
        <w:t xml:space="preserve">სხვა ვირუსული </w:t>
      </w:r>
      <w:r w:rsidR="006B1E85">
        <w:rPr>
          <w:rFonts w:ascii="Sylfaen" w:hAnsi="Sylfaen"/>
          <w:lang w:val="ka-GE"/>
        </w:rPr>
        <w:t xml:space="preserve">და ბაქტერიული </w:t>
      </w:r>
      <w:r>
        <w:rPr>
          <w:rFonts w:ascii="Sylfaen" w:hAnsi="Sylfaen"/>
          <w:lang w:val="ka-GE"/>
        </w:rPr>
        <w:t>ინფექციების შემთხვევაში, შესრულება გადანაწილდა შემდეგი სახით:</w:t>
      </w:r>
    </w:p>
    <w:p w:rsidR="009305D4" w:rsidRDefault="009305D4" w:rsidP="00AC672A">
      <w:pPr>
        <w:jc w:val="both"/>
        <w:rPr>
          <w:rFonts w:ascii="Sylfaen" w:hAnsi="Sylfaen"/>
          <w:lang w:val="ka-GE"/>
        </w:rPr>
      </w:pPr>
      <w:r>
        <w:rPr>
          <w:noProof/>
        </w:rPr>
        <w:lastRenderedPageBreak/>
        <w:drawing>
          <wp:inline distT="0" distB="0" distL="0" distR="0" wp14:anchorId="0265E351" wp14:editId="19CE48F1">
            <wp:extent cx="6250075" cy="9144000"/>
            <wp:effectExtent l="0" t="0" r="1778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305D4" w:rsidRDefault="006B1E85" w:rsidP="00AC672A">
      <w:pPr>
        <w:jc w:val="both"/>
        <w:rPr>
          <w:rFonts w:ascii="Sylfaen" w:hAnsi="Sylfaen"/>
          <w:lang w:val="ka-GE"/>
        </w:rPr>
      </w:pPr>
      <w:r>
        <w:rPr>
          <w:noProof/>
        </w:rPr>
        <w:lastRenderedPageBreak/>
        <w:drawing>
          <wp:inline distT="0" distB="0" distL="0" distR="0" wp14:anchorId="6207DB03" wp14:editId="2588538E">
            <wp:extent cx="5938576" cy="9234435"/>
            <wp:effectExtent l="0" t="0" r="24130" b="2413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B1E85" w:rsidRDefault="006B1E85" w:rsidP="00AC672A">
      <w:pPr>
        <w:jc w:val="both"/>
        <w:rPr>
          <w:rFonts w:ascii="Sylfaen" w:hAnsi="Sylfaen"/>
          <w:lang w:val="ka-GE"/>
        </w:rPr>
      </w:pPr>
      <w:r>
        <w:rPr>
          <w:rFonts w:ascii="Sylfaen" w:hAnsi="Sylfaen"/>
          <w:lang w:val="ka-GE"/>
        </w:rPr>
        <w:lastRenderedPageBreak/>
        <w:t>წარმოდგენილი მონაცემებიდან ჩანს, რომ მიმდინარე წელს შემთხვევათა უმეტესობა მოდის ნაწლავურ, ვირუსულ და ბაქტერიულ ინფექციებზე. შედარებითი ანალიზისთვის, ჩვენს მიერ დამუშავდა 2015 წლის პროგრამის მაჩვენებლებიც. შეფასებისთვის აღებულ იქნა 2015 წლის 9 თვის მონაცემები. შედარებისას გამოიკვეთა შემდეგი ტენდენციები;</w:t>
      </w:r>
    </w:p>
    <w:p w:rsidR="006B1E85" w:rsidRDefault="006B1E85" w:rsidP="00AC672A">
      <w:pPr>
        <w:jc w:val="both"/>
        <w:rPr>
          <w:rFonts w:ascii="Sylfaen" w:hAnsi="Sylfaen"/>
          <w:lang w:val="ka-GE"/>
        </w:rPr>
      </w:pPr>
      <w:r>
        <w:rPr>
          <w:rFonts w:ascii="Sylfaen" w:hAnsi="Sylfaen"/>
          <w:lang w:val="ka-GE"/>
        </w:rPr>
        <w:t xml:space="preserve">შემთხვევათა შორის 2015 წელთან შედარებით 2016 წელს მნიშვნელოვნად არის გაზრდილი სხვა ვირუსული, სხვა ბაქტეიული ჰემოკოლიტით მიმდინარე ნაწლავთა ინფექციები, ასევე, ჰერპესვირუსული ინფექციები, დაუზუსტებელი ცხელებები, მძიმე მიმდინარეობის სეფსისები, ანთებითი პოლინეიროპათიები, ვირუსული ჰეპატიტების, ბოტულიზმის შემთხვევებიც, რაც ნათლად ჩანს </w:t>
      </w:r>
      <w:r w:rsidR="00FE6823">
        <w:rPr>
          <w:rFonts w:ascii="Sylfaen" w:hAnsi="Sylfaen"/>
          <w:lang w:val="ka-GE"/>
        </w:rPr>
        <w:t>მომდევნო სამ გრაფიკზე:</w:t>
      </w:r>
    </w:p>
    <w:p w:rsidR="00FE6823" w:rsidRDefault="00FE6823" w:rsidP="00AC672A">
      <w:pPr>
        <w:jc w:val="both"/>
        <w:rPr>
          <w:rFonts w:ascii="Sylfaen" w:hAnsi="Sylfaen"/>
          <w:lang w:val="ka-GE"/>
        </w:rPr>
      </w:pPr>
      <w:r>
        <w:rPr>
          <w:noProof/>
        </w:rPr>
        <w:drawing>
          <wp:inline distT="0" distB="0" distL="0" distR="0" wp14:anchorId="11961659" wp14:editId="1B283F0C">
            <wp:extent cx="5943600" cy="3725545"/>
            <wp:effectExtent l="0" t="0" r="19050" b="273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E6823" w:rsidRDefault="00FE6823" w:rsidP="00AC672A">
      <w:pPr>
        <w:jc w:val="both"/>
        <w:rPr>
          <w:rFonts w:ascii="Sylfaen" w:hAnsi="Sylfaen"/>
          <w:lang w:val="ka-GE"/>
        </w:rPr>
      </w:pPr>
      <w:r>
        <w:rPr>
          <w:noProof/>
        </w:rPr>
        <w:lastRenderedPageBreak/>
        <w:drawing>
          <wp:inline distT="0" distB="0" distL="0" distR="0" wp14:anchorId="5202C4C3" wp14:editId="2B42861F">
            <wp:extent cx="5943600" cy="3710940"/>
            <wp:effectExtent l="0" t="0" r="19050" b="228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E6823" w:rsidRDefault="00FE6823" w:rsidP="00AC672A">
      <w:pPr>
        <w:jc w:val="both"/>
        <w:rPr>
          <w:rFonts w:ascii="Sylfaen" w:hAnsi="Sylfaen"/>
          <w:lang w:val="ka-GE"/>
        </w:rPr>
      </w:pPr>
    </w:p>
    <w:p w:rsidR="00FE6823" w:rsidRDefault="00FE6823" w:rsidP="00AC672A">
      <w:pPr>
        <w:jc w:val="both"/>
        <w:rPr>
          <w:rFonts w:ascii="Sylfaen" w:hAnsi="Sylfaen"/>
          <w:lang w:val="ka-GE"/>
        </w:rPr>
      </w:pPr>
      <w:r>
        <w:rPr>
          <w:noProof/>
        </w:rPr>
        <w:drawing>
          <wp:inline distT="0" distB="0" distL="0" distR="0" wp14:anchorId="73A65F4C" wp14:editId="2F343915">
            <wp:extent cx="5943600" cy="3709670"/>
            <wp:effectExtent l="0" t="0" r="19050" b="2413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E6823" w:rsidRDefault="00FE6823" w:rsidP="00AC672A">
      <w:pPr>
        <w:jc w:val="both"/>
        <w:rPr>
          <w:rFonts w:ascii="Sylfaen" w:hAnsi="Sylfaen"/>
          <w:lang w:val="ka-GE"/>
        </w:rPr>
      </w:pPr>
    </w:p>
    <w:p w:rsidR="00FE6823" w:rsidRDefault="00FE6823" w:rsidP="00AC672A">
      <w:pPr>
        <w:jc w:val="both"/>
        <w:rPr>
          <w:rFonts w:ascii="Sylfaen" w:hAnsi="Sylfaen"/>
          <w:lang w:val="ka-GE"/>
        </w:rPr>
      </w:pPr>
      <w:r>
        <w:rPr>
          <w:rFonts w:ascii="Sylfaen" w:hAnsi="Sylfaen"/>
          <w:lang w:val="ka-GE"/>
        </w:rPr>
        <w:t>ზრდა იკვეთება ასევე, 2015 და 2016 წელს დაწესებულებათა ხარჯვის მაჩვენებლების შედარებისას. მათ შორის</w:t>
      </w:r>
      <w:r w:rsidR="00DD601D">
        <w:rPr>
          <w:rFonts w:ascii="Sylfaen" w:hAnsi="Sylfaen"/>
          <w:lang w:val="ka-GE"/>
        </w:rPr>
        <w:t>,</w:t>
      </w:r>
      <w:r>
        <w:rPr>
          <w:rFonts w:ascii="Sylfaen" w:hAnsi="Sylfaen"/>
          <w:lang w:val="ka-GE"/>
        </w:rPr>
        <w:t xml:space="preserve"> ხარჯვის უმეტესი მაჩვენებლების მქონე კლინიკების მიხედვით</w:t>
      </w:r>
      <w:r w:rsidR="00DD601D">
        <w:rPr>
          <w:rFonts w:ascii="Sylfaen" w:hAnsi="Sylfaen"/>
          <w:lang w:val="ka-GE"/>
        </w:rPr>
        <w:t>,</w:t>
      </w:r>
      <w:r>
        <w:rPr>
          <w:rFonts w:ascii="Sylfaen" w:hAnsi="Sylfaen"/>
          <w:lang w:val="ka-GE"/>
        </w:rPr>
        <w:t xml:space="preserve"> 2015 და 2016 წლის 9 თვეში გაწეული ხარჯი გამოიხატება შემდეგი სახით:</w:t>
      </w:r>
    </w:p>
    <w:p w:rsidR="00FE6823" w:rsidRDefault="00FE6823" w:rsidP="00AC672A">
      <w:pPr>
        <w:jc w:val="both"/>
        <w:rPr>
          <w:rFonts w:ascii="Sylfaen" w:hAnsi="Sylfaen"/>
        </w:rPr>
      </w:pPr>
      <w:r>
        <w:rPr>
          <w:noProof/>
        </w:rPr>
        <w:lastRenderedPageBreak/>
        <w:drawing>
          <wp:inline distT="0" distB="0" distL="0" distR="0" wp14:anchorId="51996810" wp14:editId="310F622A">
            <wp:extent cx="6159640" cy="4602145"/>
            <wp:effectExtent l="0" t="0" r="12700" b="2730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C2D8E" w:rsidRDefault="00BC2D8E" w:rsidP="00AC672A">
      <w:pPr>
        <w:jc w:val="both"/>
        <w:rPr>
          <w:rFonts w:ascii="Sylfaen" w:hAnsi="Sylfaen"/>
          <w:lang w:val="ka-GE"/>
        </w:rPr>
      </w:pPr>
    </w:p>
    <w:p w:rsidR="00456F4B" w:rsidRDefault="00456F4B" w:rsidP="00AC672A">
      <w:pPr>
        <w:jc w:val="both"/>
        <w:rPr>
          <w:rFonts w:ascii="Sylfaen" w:hAnsi="Sylfaen"/>
          <w:lang w:val="ka-GE"/>
        </w:rPr>
      </w:pPr>
      <w:r>
        <w:rPr>
          <w:rFonts w:ascii="Sylfaen" w:hAnsi="Sylfaen"/>
          <w:lang w:val="ka-GE"/>
        </w:rPr>
        <w:t>აღსანიშნავია, რომ ინფექციური დაავადებების მართვის პროგრამის ფარგლებში გათვალისწინებული დაავადებების ტარიფების ზრდა განხორციელდა 2015 წლის იანვრიდან (ტარიფების ცვლილება ძალაში შევიდა 2014 წლის 23 დეკემბრის N723 უწყვეტობის დადგენილებით). შესრულებული სამუშაოს ანგარიშგების ვადების გათვალისწინებით, შესაძლოა დავუშვათ, რომ 2015 წლის მარტის ჩათვლით ანგარიშები</w:t>
      </w:r>
      <w:r w:rsidR="00247438">
        <w:rPr>
          <w:rFonts w:ascii="Sylfaen" w:hAnsi="Sylfaen"/>
          <w:lang w:val="ka-GE"/>
        </w:rPr>
        <w:t xml:space="preserve">ს წარმოდგენა ხდებობა </w:t>
      </w:r>
      <w:r>
        <w:rPr>
          <w:rFonts w:ascii="Sylfaen" w:hAnsi="Sylfaen"/>
          <w:lang w:val="ka-GE"/>
        </w:rPr>
        <w:t>შერეული ტარიფებით (2014 წლის და 2015 წლის შესრულებები</w:t>
      </w:r>
      <w:r w:rsidR="00247438">
        <w:rPr>
          <w:rFonts w:ascii="Sylfaen" w:hAnsi="Sylfaen"/>
          <w:lang w:val="ka-GE"/>
        </w:rPr>
        <w:t>, შესაბამისად 2014 და 2015 წლის ტარიფებით</w:t>
      </w:r>
      <w:r>
        <w:rPr>
          <w:rFonts w:ascii="Sylfaen" w:hAnsi="Sylfaen"/>
          <w:lang w:val="ka-GE"/>
        </w:rPr>
        <w:t>)</w:t>
      </w:r>
      <w:r w:rsidR="00247438">
        <w:rPr>
          <w:rFonts w:ascii="Sylfaen" w:hAnsi="Sylfaen"/>
          <w:lang w:val="ka-GE"/>
        </w:rPr>
        <w:t>. აღნიშნულის გათვალისწინებით, შემთხვევაზე წარმოდგენილი ფაქტობრივი ხარჯის საშუალო მაჩვენებლის გათვლა განხორციელდა 2015 წლის აპრილიდან მიღებულ მონაცემებზე. შესადარებლად აღებულ იქნა 2016 წლის იგივე პერიოდი.</w:t>
      </w:r>
    </w:p>
    <w:p w:rsidR="00B701EE" w:rsidRDefault="004563B1" w:rsidP="00AC672A">
      <w:pPr>
        <w:jc w:val="both"/>
        <w:rPr>
          <w:rFonts w:ascii="Sylfaen" w:hAnsi="Sylfaen"/>
          <w:lang w:val="ka-GE"/>
        </w:rPr>
      </w:pPr>
      <w:r>
        <w:rPr>
          <w:rFonts w:ascii="Sylfaen" w:hAnsi="Sylfaen"/>
          <w:lang w:val="ka-GE"/>
        </w:rPr>
        <w:t xml:space="preserve">2015 და 2016 წელს ცალკეულ შემთხვევებზე წარმოდგენილი ფაქტობრივი ხარჯის საშუალო მაჩვენებლების ანალიზისას გამოიკვეთა უმეტესად ფასების ზრდის ტენდენცია. </w:t>
      </w:r>
      <w:r w:rsidR="00B701EE">
        <w:rPr>
          <w:rFonts w:ascii="Sylfaen" w:hAnsi="Sylfaen"/>
          <w:lang w:val="ka-GE"/>
        </w:rPr>
        <w:t xml:space="preserve">განსაკუთრებით მაღალი ციფრები 2016 წელს, 2015 წელთან შედარებით, წარმოდგენილ იქნა ბაქტერიული მენინგოენცეფალიტების </w:t>
      </w:r>
      <w:r w:rsidR="00B701EE" w:rsidRPr="003364AF">
        <w:rPr>
          <w:rFonts w:ascii="Sylfaen" w:hAnsi="Sylfaen"/>
          <w:b/>
          <w:lang w:val="ka-GE"/>
        </w:rPr>
        <w:t>(</w:t>
      </w:r>
      <w:r w:rsidR="00EC38EA">
        <w:rPr>
          <w:rFonts w:ascii="Sylfaen" w:hAnsi="Sylfaen"/>
          <w:b/>
        </w:rPr>
        <w:t>120</w:t>
      </w:r>
      <w:r w:rsidR="00B701EE" w:rsidRPr="003364AF">
        <w:rPr>
          <w:rFonts w:ascii="Sylfaen" w:hAnsi="Sylfaen"/>
          <w:b/>
          <w:lang w:val="ka-GE"/>
        </w:rPr>
        <w:t>%-ით მეტი),</w:t>
      </w:r>
      <w:r w:rsidR="00B701EE">
        <w:rPr>
          <w:rFonts w:ascii="Sylfaen" w:hAnsi="Sylfaen"/>
          <w:lang w:val="ka-GE"/>
        </w:rPr>
        <w:t xml:space="preserve"> ანთებითი პოლინეიროპათიების </w:t>
      </w:r>
      <w:r w:rsidR="00B701EE" w:rsidRPr="003364AF">
        <w:rPr>
          <w:rFonts w:ascii="Sylfaen" w:hAnsi="Sylfaen"/>
          <w:b/>
          <w:lang w:val="ka-GE"/>
        </w:rPr>
        <w:t>(8</w:t>
      </w:r>
      <w:r w:rsidR="00EC38EA">
        <w:rPr>
          <w:rFonts w:ascii="Sylfaen" w:hAnsi="Sylfaen"/>
          <w:b/>
        </w:rPr>
        <w:t>6</w:t>
      </w:r>
      <w:r w:rsidR="00B701EE" w:rsidRPr="003364AF">
        <w:rPr>
          <w:rFonts w:ascii="Sylfaen" w:hAnsi="Sylfaen"/>
          <w:b/>
          <w:lang w:val="ka-GE"/>
        </w:rPr>
        <w:t>%-ით მეტი),</w:t>
      </w:r>
      <w:r w:rsidR="00B701EE">
        <w:rPr>
          <w:rFonts w:ascii="Sylfaen" w:hAnsi="Sylfaen"/>
          <w:lang w:val="ka-GE"/>
        </w:rPr>
        <w:t xml:space="preserve"> ვირუსული მენინგოენცეფალიტების </w:t>
      </w:r>
      <w:r w:rsidR="00B701EE" w:rsidRPr="003364AF">
        <w:rPr>
          <w:rFonts w:ascii="Sylfaen" w:hAnsi="Sylfaen"/>
          <w:b/>
          <w:lang w:val="ka-GE"/>
        </w:rPr>
        <w:t>(</w:t>
      </w:r>
      <w:r w:rsidR="00EC38EA">
        <w:rPr>
          <w:rFonts w:ascii="Sylfaen" w:hAnsi="Sylfaen"/>
          <w:b/>
        </w:rPr>
        <w:t>71</w:t>
      </w:r>
      <w:r w:rsidR="00B701EE" w:rsidRPr="003364AF">
        <w:rPr>
          <w:rFonts w:ascii="Sylfaen" w:hAnsi="Sylfaen"/>
          <w:b/>
          <w:lang w:val="ka-GE"/>
        </w:rPr>
        <w:t>%-ით მეტი)</w:t>
      </w:r>
      <w:r w:rsidR="00EC38EA">
        <w:rPr>
          <w:rFonts w:ascii="Sylfaen" w:hAnsi="Sylfaen"/>
          <w:b/>
        </w:rPr>
        <w:t xml:space="preserve">, </w:t>
      </w:r>
      <w:r w:rsidR="00EC38EA">
        <w:rPr>
          <w:rFonts w:ascii="Sylfaen" w:hAnsi="Sylfaen"/>
          <w:lang w:val="ka-GE"/>
        </w:rPr>
        <w:t>სხვა ბაქტერიული ინფექციების (</w:t>
      </w:r>
      <w:r w:rsidR="00EC38EA" w:rsidRPr="008F477F">
        <w:rPr>
          <w:rFonts w:ascii="Sylfaen" w:hAnsi="Sylfaen"/>
          <w:b/>
          <w:lang w:val="ka-GE"/>
        </w:rPr>
        <w:t>25%-ით მეტი)</w:t>
      </w:r>
      <w:r w:rsidR="00B701EE">
        <w:rPr>
          <w:rFonts w:ascii="Sylfaen" w:hAnsi="Sylfaen"/>
          <w:lang w:val="ka-GE"/>
        </w:rPr>
        <w:t xml:space="preserve"> შემთხვევებზე:</w:t>
      </w:r>
    </w:p>
    <w:p w:rsidR="00B701EE" w:rsidRDefault="00B701EE">
      <w:pPr>
        <w:rPr>
          <w:rFonts w:ascii="Sylfaen" w:hAnsi="Sylfaen"/>
          <w:lang w:val="ka-GE"/>
        </w:rPr>
      </w:pPr>
      <w:r>
        <w:rPr>
          <w:rFonts w:ascii="Sylfaen" w:hAnsi="Sylfaen"/>
          <w:lang w:val="ka-GE"/>
        </w:rPr>
        <w:br w:type="page"/>
      </w:r>
    </w:p>
    <w:p w:rsidR="004563B1" w:rsidRDefault="004563B1" w:rsidP="00AC672A">
      <w:pPr>
        <w:jc w:val="both"/>
        <w:rPr>
          <w:rFonts w:ascii="Sylfaen" w:hAnsi="Sylfaen"/>
          <w:lang w:val="ka-GE"/>
        </w:rPr>
      </w:pPr>
    </w:p>
    <w:p w:rsidR="00B701EE" w:rsidRPr="00B701EE" w:rsidRDefault="00B701EE" w:rsidP="00B701EE">
      <w:pPr>
        <w:jc w:val="center"/>
        <w:rPr>
          <w:rFonts w:ascii="Sylfaen" w:hAnsi="Sylfaen"/>
          <w:b/>
          <w:lang w:val="ka-GE"/>
        </w:rPr>
      </w:pPr>
      <w:r w:rsidRPr="00B701EE">
        <w:rPr>
          <w:rFonts w:ascii="Sylfaen" w:hAnsi="Sylfaen"/>
          <w:b/>
          <w:lang w:val="ka-GE"/>
        </w:rPr>
        <w:t>2015 და 2016 წელს ცალკეულ კოდებზე წარმოდგენილი ფაქტობრივი ხარჯვის საშუალო მაჩვენებლების შედარება</w:t>
      </w:r>
    </w:p>
    <w:p w:rsidR="00B701EE" w:rsidRDefault="00EC38EA" w:rsidP="00AC672A">
      <w:pPr>
        <w:jc w:val="both"/>
        <w:rPr>
          <w:rFonts w:ascii="Sylfaen" w:hAnsi="Sylfaen"/>
          <w:lang w:val="ka-GE"/>
        </w:rPr>
      </w:pPr>
      <w:r>
        <w:rPr>
          <w:noProof/>
        </w:rPr>
        <w:drawing>
          <wp:inline distT="0" distB="0" distL="0" distR="0" wp14:anchorId="30A6E510" wp14:editId="3263144B">
            <wp:extent cx="5943600" cy="3848735"/>
            <wp:effectExtent l="0" t="0" r="19050" b="1841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B0F96" w:rsidRPr="00BC2D8E" w:rsidRDefault="007B0F96" w:rsidP="00AC672A">
      <w:pPr>
        <w:jc w:val="both"/>
        <w:rPr>
          <w:rFonts w:ascii="Sylfaen" w:hAnsi="Sylfaen"/>
          <w:lang w:val="ka-GE"/>
        </w:rPr>
      </w:pPr>
      <w:r>
        <w:rPr>
          <w:noProof/>
        </w:rPr>
        <w:drawing>
          <wp:inline distT="0" distB="0" distL="0" distR="0" wp14:anchorId="1FA1BBA4" wp14:editId="37692C47">
            <wp:extent cx="5943600" cy="3419475"/>
            <wp:effectExtent l="0" t="0" r="19050"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E6823" w:rsidRDefault="003364AF" w:rsidP="00AC672A">
      <w:pPr>
        <w:jc w:val="both"/>
        <w:rPr>
          <w:rFonts w:ascii="Sylfaen" w:hAnsi="Sylfaen"/>
          <w:lang w:val="ka-GE"/>
        </w:rPr>
      </w:pPr>
      <w:r>
        <w:rPr>
          <w:rFonts w:ascii="Sylfaen" w:hAnsi="Sylfaen"/>
          <w:lang w:val="ka-GE"/>
        </w:rPr>
        <w:t>გასათვალისწინებელია, რომ ფასების ზრდა ყოველთვის არ არის დაკავშირებული შემთხვევათა რაოდენობის ზრდასთან. კერძოდ, იგივე კოდებზე 2015 და 2016 წლის შემთხვევათა რაოდენობის შედარებისას, რიგ პოზიციაზე გამოიხატა შემთხვევათა კლება:</w:t>
      </w:r>
    </w:p>
    <w:p w:rsidR="003364AF" w:rsidRDefault="00EC38EA" w:rsidP="00AC672A">
      <w:pPr>
        <w:jc w:val="both"/>
        <w:rPr>
          <w:rFonts w:ascii="Sylfaen" w:hAnsi="Sylfaen"/>
          <w:lang w:val="ka-GE"/>
        </w:rPr>
      </w:pPr>
      <w:r>
        <w:rPr>
          <w:noProof/>
        </w:rPr>
        <w:lastRenderedPageBreak/>
        <w:drawing>
          <wp:inline distT="0" distB="0" distL="0" distR="0" wp14:anchorId="7886D6A9" wp14:editId="7C587920">
            <wp:extent cx="5848141" cy="3145134"/>
            <wp:effectExtent l="0" t="0" r="19685" b="1778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364AF" w:rsidRDefault="003364AF" w:rsidP="00DC364D">
      <w:pPr>
        <w:jc w:val="both"/>
        <w:rPr>
          <w:rFonts w:ascii="Sylfaen" w:hAnsi="Sylfaen"/>
          <w:lang w:val="ka-GE"/>
        </w:rPr>
      </w:pPr>
    </w:p>
    <w:p w:rsidR="003364AF" w:rsidRDefault="00EC38EA" w:rsidP="00DC364D">
      <w:pPr>
        <w:jc w:val="both"/>
        <w:rPr>
          <w:rFonts w:ascii="Sylfaen" w:hAnsi="Sylfaen"/>
          <w:lang w:val="ka-GE"/>
        </w:rPr>
      </w:pPr>
      <w:r>
        <w:rPr>
          <w:noProof/>
        </w:rPr>
        <w:drawing>
          <wp:inline distT="0" distB="0" distL="0" distR="0" wp14:anchorId="03DA71E1" wp14:editId="7A3C6238">
            <wp:extent cx="5938576" cy="3798277"/>
            <wp:effectExtent l="0" t="0" r="24130" b="1206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364AF" w:rsidRDefault="003364AF" w:rsidP="00DC364D">
      <w:pPr>
        <w:jc w:val="both"/>
        <w:rPr>
          <w:rFonts w:ascii="Sylfaen" w:hAnsi="Sylfaen"/>
          <w:lang w:val="ka-GE"/>
        </w:rPr>
      </w:pPr>
    </w:p>
    <w:p w:rsidR="00DC364D" w:rsidRDefault="00DC364D" w:rsidP="00DC364D">
      <w:pPr>
        <w:jc w:val="both"/>
        <w:rPr>
          <w:rFonts w:ascii="Sylfaen" w:hAnsi="Sylfaen"/>
          <w:lang w:val="ka-GE"/>
        </w:rPr>
      </w:pPr>
      <w:r>
        <w:rPr>
          <w:rFonts w:ascii="Sylfaen" w:hAnsi="Sylfaen"/>
          <w:lang w:val="ka-GE"/>
        </w:rPr>
        <w:t xml:space="preserve">2016 წლის 9 თვის ჯამური ხარჯი შეადგენს </w:t>
      </w:r>
      <w:r w:rsidRPr="00DC364D">
        <w:rPr>
          <w:rFonts w:ascii="Sylfaen" w:hAnsi="Sylfaen"/>
          <w:lang w:val="ka-GE"/>
        </w:rPr>
        <w:t xml:space="preserve">  </w:t>
      </w:r>
      <w:r w:rsidRPr="00DC364D">
        <w:rPr>
          <w:rFonts w:ascii="Sylfaen" w:hAnsi="Sylfaen"/>
          <w:b/>
          <w:u w:val="double"/>
          <w:lang w:val="ka-GE"/>
        </w:rPr>
        <w:t>7 289 748,00</w:t>
      </w:r>
      <w:r w:rsidRPr="00DC364D">
        <w:rPr>
          <w:rFonts w:ascii="Sylfaen" w:hAnsi="Sylfaen"/>
          <w:lang w:val="ka-GE"/>
        </w:rPr>
        <w:t xml:space="preserve"> </w:t>
      </w:r>
      <w:r>
        <w:rPr>
          <w:rFonts w:ascii="Sylfaen" w:hAnsi="Sylfaen"/>
          <w:lang w:val="ka-GE"/>
        </w:rPr>
        <w:t xml:space="preserve">ლარს, რაც  </w:t>
      </w:r>
      <w:r w:rsidRPr="00DC364D">
        <w:rPr>
          <w:rFonts w:ascii="Sylfaen" w:hAnsi="Sylfaen"/>
          <w:b/>
          <w:u w:val="double"/>
          <w:lang w:val="ka-GE"/>
        </w:rPr>
        <w:t>1 347 981,55</w:t>
      </w:r>
      <w:r w:rsidRPr="00DC364D">
        <w:rPr>
          <w:rFonts w:ascii="Sylfaen" w:hAnsi="Sylfaen"/>
          <w:lang w:val="ka-GE"/>
        </w:rPr>
        <w:t xml:space="preserve"> </w:t>
      </w:r>
      <w:r>
        <w:rPr>
          <w:rFonts w:ascii="Sylfaen" w:hAnsi="Sylfaen"/>
          <w:lang w:val="ka-GE"/>
        </w:rPr>
        <w:t xml:space="preserve"> ლარით აღემატება 2015 წლის იგივე პერიოდში დაფიქსირებულ ხარჯს </w:t>
      </w:r>
      <w:r w:rsidRPr="00DC364D">
        <w:rPr>
          <w:rFonts w:ascii="Sylfaen" w:hAnsi="Sylfaen"/>
          <w:b/>
          <w:u w:val="double"/>
          <w:lang w:val="ka-GE"/>
        </w:rPr>
        <w:t>(5 941 766,45</w:t>
      </w:r>
      <w:r w:rsidRPr="00DC364D">
        <w:rPr>
          <w:rFonts w:ascii="Sylfaen" w:eastAsia="Times New Roman" w:hAnsi="Sylfaen" w:cs="Times New Roman"/>
          <w:color w:val="000000"/>
          <w:sz w:val="18"/>
          <w:szCs w:val="18"/>
        </w:rPr>
        <w:t xml:space="preserve"> </w:t>
      </w:r>
      <w:r w:rsidRPr="00DC364D">
        <w:rPr>
          <w:rFonts w:ascii="Sylfaen" w:hAnsi="Sylfaen"/>
          <w:lang w:val="ka-GE"/>
        </w:rPr>
        <w:t>ლარი)</w:t>
      </w:r>
      <w:r>
        <w:rPr>
          <w:rFonts w:ascii="Sylfaen" w:hAnsi="Sylfaen"/>
          <w:lang w:val="ka-GE"/>
        </w:rPr>
        <w:t>.</w:t>
      </w:r>
      <w:bookmarkStart w:id="0" w:name="_GoBack"/>
      <w:bookmarkEnd w:id="0"/>
    </w:p>
    <w:p w:rsidR="00FE6823" w:rsidRPr="009305D4" w:rsidRDefault="00DC364D" w:rsidP="00AC672A">
      <w:pPr>
        <w:jc w:val="both"/>
        <w:rPr>
          <w:rFonts w:ascii="Sylfaen" w:hAnsi="Sylfaen"/>
          <w:lang w:val="ka-GE"/>
        </w:rPr>
      </w:pPr>
      <w:r>
        <w:rPr>
          <w:rFonts w:ascii="Sylfaen" w:hAnsi="Sylfaen"/>
          <w:lang w:val="ka-GE"/>
        </w:rPr>
        <w:t xml:space="preserve">არსებული ხარჯვის მონაცემებით და წლის ბოლომდე იგივე ტენდენციების შენარჩუნების შემთხვევაში პროგრამის საბიუჯეტო სახსრები მოითხოვს გაზრდას დაახლოებით </w:t>
      </w:r>
      <w:r w:rsidRPr="00DC364D">
        <w:rPr>
          <w:rFonts w:ascii="Sylfaen" w:hAnsi="Sylfaen"/>
          <w:b/>
          <w:u w:val="double"/>
          <w:lang w:val="ka-GE"/>
        </w:rPr>
        <w:t>2 1</w:t>
      </w:r>
      <w:r w:rsidR="007B0F96">
        <w:rPr>
          <w:rFonts w:ascii="Sylfaen" w:hAnsi="Sylfaen"/>
          <w:b/>
          <w:u w:val="double"/>
          <w:lang w:val="ka-GE"/>
        </w:rPr>
        <w:t>3</w:t>
      </w:r>
      <w:r w:rsidRPr="00DC364D">
        <w:rPr>
          <w:rFonts w:ascii="Sylfaen" w:hAnsi="Sylfaen"/>
          <w:b/>
          <w:u w:val="double"/>
          <w:lang w:val="ka-GE"/>
        </w:rPr>
        <w:t>0 000 ლარით.</w:t>
      </w:r>
      <w:r>
        <w:rPr>
          <w:rFonts w:ascii="Sylfaen" w:hAnsi="Sylfaen"/>
          <w:lang w:val="ka-GE"/>
        </w:rPr>
        <w:t xml:space="preserve"> </w:t>
      </w:r>
    </w:p>
    <w:sectPr w:rsidR="00FE6823" w:rsidRPr="009305D4" w:rsidSect="006B1E85">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2"/>
    <w:lvl w:ilvl="0">
      <w:start w:val="1"/>
      <w:numFmt w:val="decimal"/>
      <w:lvlText w:val="%1."/>
      <w:lvlJc w:val="left"/>
      <w:pPr>
        <w:tabs>
          <w:tab w:val="num" w:pos="1080"/>
        </w:tabs>
        <w:ind w:left="1080" w:hanging="360"/>
      </w:pPr>
      <w:rPr>
        <w:rFonts w:ascii="Sylfaen" w:eastAsia="Sylfaen" w:hAnsi="Sylfaen"/>
        <w:b w:val="0"/>
        <w:i w:val="0"/>
        <w:strike w:val="0"/>
        <w:position w:val="0"/>
        <w:sz w:val="24"/>
        <w:u w:val="none"/>
        <w:shd w:val="clear" w:color="auto" w:fill="auto"/>
      </w:rPr>
    </w:lvl>
  </w:abstractNum>
  <w:abstractNum w:abstractNumId="1">
    <w:nsid w:val="41291308"/>
    <w:multiLevelType w:val="hybridMultilevel"/>
    <w:tmpl w:val="E19A7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B8"/>
    <w:rsid w:val="00040AED"/>
    <w:rsid w:val="000920DE"/>
    <w:rsid w:val="000F2BEE"/>
    <w:rsid w:val="001B6CB3"/>
    <w:rsid w:val="00247438"/>
    <w:rsid w:val="00281D61"/>
    <w:rsid w:val="00291E65"/>
    <w:rsid w:val="002C0C64"/>
    <w:rsid w:val="002F20B6"/>
    <w:rsid w:val="00333806"/>
    <w:rsid w:val="003364AF"/>
    <w:rsid w:val="004551A4"/>
    <w:rsid w:val="004563B1"/>
    <w:rsid w:val="00456F4B"/>
    <w:rsid w:val="004C5D1E"/>
    <w:rsid w:val="004D70C8"/>
    <w:rsid w:val="00547DCA"/>
    <w:rsid w:val="005B3AB8"/>
    <w:rsid w:val="005D12D5"/>
    <w:rsid w:val="006B1E85"/>
    <w:rsid w:val="00703039"/>
    <w:rsid w:val="007B0F96"/>
    <w:rsid w:val="008F477F"/>
    <w:rsid w:val="009305D4"/>
    <w:rsid w:val="00A02D48"/>
    <w:rsid w:val="00AC672A"/>
    <w:rsid w:val="00AE6201"/>
    <w:rsid w:val="00B701EE"/>
    <w:rsid w:val="00BC2D8E"/>
    <w:rsid w:val="00C25623"/>
    <w:rsid w:val="00CC3732"/>
    <w:rsid w:val="00CF35F4"/>
    <w:rsid w:val="00DC364D"/>
    <w:rsid w:val="00DC7266"/>
    <w:rsid w:val="00DD31C1"/>
    <w:rsid w:val="00DD601D"/>
    <w:rsid w:val="00E226A9"/>
    <w:rsid w:val="00E60F78"/>
    <w:rsid w:val="00EC38EA"/>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C1"/>
    <w:pPr>
      <w:ind w:left="720"/>
      <w:contextualSpacing/>
    </w:pPr>
  </w:style>
  <w:style w:type="paragraph" w:styleId="BalloonText">
    <w:name w:val="Balloon Text"/>
    <w:basedOn w:val="Normal"/>
    <w:link w:val="BalloonTextChar"/>
    <w:uiPriority w:val="99"/>
    <w:semiHidden/>
    <w:unhideWhenUsed/>
    <w:rsid w:val="002F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C1"/>
    <w:pPr>
      <w:ind w:left="720"/>
      <w:contextualSpacing/>
    </w:pPr>
  </w:style>
  <w:style w:type="paragraph" w:styleId="BalloonText">
    <w:name w:val="Balloon Text"/>
    <w:basedOn w:val="Normal"/>
    <w:link w:val="BalloonTextChar"/>
    <w:uiPriority w:val="99"/>
    <w:semiHidden/>
    <w:unhideWhenUsed/>
    <w:rsid w:val="002F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75134">
      <w:bodyDiv w:val="1"/>
      <w:marLeft w:val="0"/>
      <w:marRight w:val="0"/>
      <w:marTop w:val="0"/>
      <w:marBottom w:val="0"/>
      <w:divBdr>
        <w:top w:val="none" w:sz="0" w:space="0" w:color="auto"/>
        <w:left w:val="none" w:sz="0" w:space="0" w:color="auto"/>
        <w:bottom w:val="none" w:sz="0" w:space="0" w:color="auto"/>
        <w:right w:val="none" w:sz="0" w:space="0" w:color="auto"/>
      </w:divBdr>
    </w:div>
    <w:div w:id="971057207">
      <w:bodyDiv w:val="1"/>
      <w:marLeft w:val="0"/>
      <w:marRight w:val="0"/>
      <w:marTop w:val="0"/>
      <w:marBottom w:val="0"/>
      <w:divBdr>
        <w:top w:val="none" w:sz="0" w:space="0" w:color="auto"/>
        <w:left w:val="none" w:sz="0" w:space="0" w:color="auto"/>
        <w:bottom w:val="none" w:sz="0" w:space="0" w:color="auto"/>
        <w:right w:val="none" w:sz="0" w:space="0" w:color="auto"/>
      </w:divBdr>
    </w:div>
    <w:div w:id="1418089640">
      <w:bodyDiv w:val="1"/>
      <w:marLeft w:val="0"/>
      <w:marRight w:val="0"/>
      <w:marTop w:val="0"/>
      <w:marBottom w:val="0"/>
      <w:divBdr>
        <w:top w:val="none" w:sz="0" w:space="0" w:color="auto"/>
        <w:left w:val="none" w:sz="0" w:space="0" w:color="auto"/>
        <w:bottom w:val="none" w:sz="0" w:space="0" w:color="auto"/>
        <w:right w:val="none" w:sz="0" w:space="0" w:color="auto"/>
      </w:divBdr>
    </w:div>
    <w:div w:id="17658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microsoft.com/office/2007/relationships/stylesWithEffects" Target="stylesWithEffects.xml"/><Relationship Id="rId21" Type="http://schemas.openxmlformats.org/officeDocument/2006/relationships/chart" Target="charts/chart16.xml"/><Relationship Id="rId34"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4304;&#4316;&#4304;&#4314;&#4312;&#4310;&#43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solidFill>
                  <a:srgbClr val="002060"/>
                </a:solidFill>
              </a:rPr>
              <a:t>შემთხვევების</a:t>
            </a:r>
            <a:r>
              <a:rPr lang="ka-GE" baseline="0">
                <a:solidFill>
                  <a:srgbClr val="002060"/>
                </a:solidFill>
              </a:rPr>
              <a:t> განაწილება 2016 წლის 9 თვე (აგვისტოს ჩათვლით) </a:t>
            </a:r>
            <a:endParaRPr lang="en-US">
              <a:solidFill>
                <a:srgbClr val="002060"/>
              </a:solidFill>
            </a:endParaRPr>
          </a:p>
        </c:rich>
      </c:tx>
      <c:overlay val="0"/>
    </c:title>
    <c:autoTitleDeleted val="0"/>
    <c:plotArea>
      <c:layout/>
      <c:pieChart>
        <c:varyColors val="1"/>
        <c:ser>
          <c:idx val="1"/>
          <c:order val="1"/>
          <c:dLbls>
            <c:showLegendKey val="0"/>
            <c:showVal val="0"/>
            <c:showCatName val="0"/>
            <c:showSerName val="0"/>
            <c:showPercent val="1"/>
            <c:showBubbleSize val="0"/>
            <c:showLeaderLines val="1"/>
          </c:dLbls>
          <c:cat>
            <c:strRef>
              <c:f>'შემთხვევები-16'!$A$4:$A$14</c:f>
              <c:strCache>
                <c:ptCount val="11"/>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pt idx="10">
                  <c:v>სხვა</c:v>
                </c:pt>
              </c:strCache>
            </c:strRef>
          </c:cat>
          <c:val>
            <c:numRef>
              <c:f>'შემთხვევები-16'!$C$4:$C$14</c:f>
              <c:numCache>
                <c:formatCode>General</c:formatCode>
                <c:ptCount val="11"/>
                <c:pt idx="0">
                  <c:v>5260</c:v>
                </c:pt>
                <c:pt idx="1">
                  <c:v>1429</c:v>
                </c:pt>
                <c:pt idx="2">
                  <c:v>3514</c:v>
                </c:pt>
                <c:pt idx="3">
                  <c:v>1478</c:v>
                </c:pt>
                <c:pt idx="4">
                  <c:v>821</c:v>
                </c:pt>
                <c:pt idx="5">
                  <c:v>861</c:v>
                </c:pt>
                <c:pt idx="6">
                  <c:v>405</c:v>
                </c:pt>
                <c:pt idx="7">
                  <c:v>295</c:v>
                </c:pt>
                <c:pt idx="8">
                  <c:v>206</c:v>
                </c:pt>
                <c:pt idx="9">
                  <c:v>114</c:v>
                </c:pt>
                <c:pt idx="10">
                  <c:v>446</c:v>
                </c:pt>
              </c:numCache>
            </c:numRef>
          </c:val>
        </c:ser>
        <c:ser>
          <c:idx val="0"/>
          <c:order val="0"/>
          <c:dLbls>
            <c:showLegendKey val="0"/>
            <c:showVal val="0"/>
            <c:showCatName val="0"/>
            <c:showSerName val="0"/>
            <c:showPercent val="1"/>
            <c:showBubbleSize val="0"/>
            <c:showLeaderLines val="1"/>
          </c:dLbls>
          <c:cat>
            <c:strRef>
              <c:f>'შემთხვევები-16'!$A$4:$A$14</c:f>
              <c:strCache>
                <c:ptCount val="11"/>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pt idx="10">
                  <c:v>სხვა</c:v>
                </c:pt>
              </c:strCache>
            </c:strRef>
          </c:cat>
          <c:val>
            <c:numRef>
              <c:f>'შემთხვევები-16'!$B$4:$B$14</c:f>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5228196119743187"/>
          <c:y val="0.15623462296193774"/>
          <c:w val="0.33488667990440807"/>
          <c:h val="0.83209334127026546"/>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'თბილისის ბავშვთა ინფექც'!$A$2</c:f>
              <c:strCache>
                <c:ptCount val="1"/>
                <c:pt idx="0">
                  <c:v>შპს "ქ.თბილისის ბავშვთა ინფექციური კლინიკური საავადმყოფო"</c:v>
                </c:pt>
              </c:strCache>
            </c:strRef>
          </c:tx>
          <c:invertIfNegative val="0"/>
          <c:cat>
            <c:numRef>
              <c:f>'თბილისის ბავშვთა ინფექც'!$B$1:$J$1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'თბილისის ბავშვთა ინფექც'!$B$2:$J$2</c:f>
              <c:numCache>
                <c:formatCode>_(* #,##0.00_);_(* \(#,##0.00\);_(* "-"??_);_(@_)</c:formatCode>
                <c:ptCount val="9"/>
                <c:pt idx="0">
                  <c:v>138352.04999999999</c:v>
                </c:pt>
                <c:pt idx="1">
                  <c:v>145204.38</c:v>
                </c:pt>
                <c:pt idx="2">
                  <c:v>171760.17</c:v>
                </c:pt>
                <c:pt idx="3">
                  <c:v>154604.59</c:v>
                </c:pt>
                <c:pt idx="4">
                  <c:v>168504.26</c:v>
                </c:pt>
                <c:pt idx="5">
                  <c:v>170339.77</c:v>
                </c:pt>
                <c:pt idx="6">
                  <c:v>183482.74</c:v>
                </c:pt>
                <c:pt idx="7">
                  <c:v>171258.88</c:v>
                </c:pt>
                <c:pt idx="8">
                  <c:v>221023.4</c:v>
                </c:pt>
              </c:numCache>
            </c:numRef>
          </c:val>
        </c:ser>
        <c:dLbls>
          <c:showLegendKey val="0"/>
          <c:showVal val="0"/>
          <c:showCatName val="0"/>
          <c:showSerName val="0"/>
          <c:showPercent val="0"/>
          <c:showBubbleSize val="0"/>
        </c:dLbls>
        <c:gapWidth val="150"/>
        <c:shape val="cone"/>
        <c:axId val="337988992"/>
        <c:axId val="338011264"/>
        <c:axId val="0"/>
      </c:bar3DChart>
      <c:dateAx>
        <c:axId val="337988992"/>
        <c:scaling>
          <c:orientation val="minMax"/>
        </c:scaling>
        <c:delete val="0"/>
        <c:axPos val="b"/>
        <c:numFmt formatCode="mmm\-yy" sourceLinked="1"/>
        <c:majorTickMark val="out"/>
        <c:minorTickMark val="none"/>
        <c:tickLblPos val="nextTo"/>
        <c:crossAx val="338011264"/>
        <c:crosses val="autoZero"/>
        <c:auto val="1"/>
        <c:lblOffset val="100"/>
        <c:baseTimeUnit val="months"/>
      </c:dateAx>
      <c:valAx>
        <c:axId val="338011264"/>
        <c:scaling>
          <c:orientation val="minMax"/>
        </c:scaling>
        <c:delete val="0"/>
        <c:axPos val="l"/>
        <c:majorGridlines/>
        <c:numFmt formatCode="_(* #,##0.00_);_(* \(#,##0.00\);_(* &quot;-&quot;??_);_(@_)" sourceLinked="1"/>
        <c:majorTickMark val="out"/>
        <c:minorTickMark val="none"/>
        <c:tickLblPos val="nextTo"/>
        <c:crossAx val="337988992"/>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'რუსთავის ბავშვთა'!$A$2</c:f>
              <c:strCache>
                <c:ptCount val="1"/>
                <c:pt idx="0">
                  <c:v>სს "რუსთავის ბავშვთა საავადმყოფო"</c:v>
                </c:pt>
              </c:strCache>
            </c:strRef>
          </c:tx>
          <c:spPr>
            <a:solidFill>
              <a:srgbClr val="C00000"/>
            </a:solidFill>
            <a:scene3d>
              <a:camera prst="orthographicFront"/>
              <a:lightRig rig="threePt" dir="t"/>
            </a:scene3d>
            <a:sp3d prstMaterial="metal"/>
          </c:spPr>
          <c:invertIfNegative val="0"/>
          <c:cat>
            <c:numRef>
              <c:f>'რუსთავის ბავშვთა'!$B$1:$J$1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'რუსთავის ბავშვთა'!$B$2:$J$2</c:f>
              <c:numCache>
                <c:formatCode>_(* #,##0.00_);_(* \(#,##0.00\);_(* "-"??_);_(@_)</c:formatCode>
                <c:ptCount val="9"/>
                <c:pt idx="0">
                  <c:v>6764.24</c:v>
                </c:pt>
                <c:pt idx="1">
                  <c:v>11811.53</c:v>
                </c:pt>
                <c:pt idx="2">
                  <c:v>12488.43</c:v>
                </c:pt>
                <c:pt idx="3">
                  <c:v>14976.06</c:v>
                </c:pt>
                <c:pt idx="4">
                  <c:v>17051.310000000001</c:v>
                </c:pt>
                <c:pt idx="5">
                  <c:v>11771.1</c:v>
                </c:pt>
                <c:pt idx="6">
                  <c:v>12769.44</c:v>
                </c:pt>
                <c:pt idx="7">
                  <c:v>18277</c:v>
                </c:pt>
                <c:pt idx="8">
                  <c:v>16949.62</c:v>
                </c:pt>
              </c:numCache>
            </c:numRef>
          </c:val>
        </c:ser>
        <c:dLbls>
          <c:showLegendKey val="0"/>
          <c:showVal val="0"/>
          <c:showCatName val="0"/>
          <c:showSerName val="0"/>
          <c:showPercent val="0"/>
          <c:showBubbleSize val="0"/>
        </c:dLbls>
        <c:gapWidth val="150"/>
        <c:shape val="cone"/>
        <c:axId val="338028032"/>
        <c:axId val="338029568"/>
        <c:axId val="0"/>
      </c:bar3DChart>
      <c:dateAx>
        <c:axId val="338028032"/>
        <c:scaling>
          <c:orientation val="minMax"/>
        </c:scaling>
        <c:delete val="0"/>
        <c:axPos val="b"/>
        <c:numFmt formatCode="mmm\-yy" sourceLinked="1"/>
        <c:majorTickMark val="out"/>
        <c:minorTickMark val="none"/>
        <c:tickLblPos val="nextTo"/>
        <c:crossAx val="338029568"/>
        <c:crosses val="autoZero"/>
        <c:auto val="1"/>
        <c:lblOffset val="100"/>
        <c:baseTimeUnit val="months"/>
      </c:dateAx>
      <c:valAx>
        <c:axId val="338029568"/>
        <c:scaling>
          <c:orientation val="minMax"/>
        </c:scaling>
        <c:delete val="0"/>
        <c:axPos val="l"/>
        <c:majorGridlines/>
        <c:numFmt formatCode="_(* #,##0.00_);_(* \(#,##0.00\);_(* &quot;-&quot;??_);_(@_)" sourceLinked="1"/>
        <c:majorTickMark val="out"/>
        <c:minorTickMark val="none"/>
        <c:tickLblPos val="nextTo"/>
        <c:crossAx val="338028032"/>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გორმედი!$A$2</c:f>
              <c:strCache>
                <c:ptCount val="1"/>
                <c:pt idx="0">
                  <c:v>შპს გორმედი</c:v>
                </c:pt>
              </c:strCache>
            </c:strRef>
          </c:tx>
          <c:invertIfNegative val="0"/>
          <c:cat>
            <c:numRef>
              <c:f>გორმედი!$B$1:$J$1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გორმედი!$B$2:$J$2</c:f>
              <c:numCache>
                <c:formatCode>_(* #,##0.00_);_(* \(#,##0.00\);_(* "-"??_);_(@_)</c:formatCode>
                <c:ptCount val="9"/>
                <c:pt idx="0">
                  <c:v>2125.8000000000002</c:v>
                </c:pt>
                <c:pt idx="1">
                  <c:v>20821.23</c:v>
                </c:pt>
                <c:pt idx="2">
                  <c:v>41915.11</c:v>
                </c:pt>
                <c:pt idx="3">
                  <c:v>16529.2</c:v>
                </c:pt>
                <c:pt idx="4">
                  <c:v>14134.2</c:v>
                </c:pt>
                <c:pt idx="5">
                  <c:v>17221.400000000001</c:v>
                </c:pt>
                <c:pt idx="6">
                  <c:v>24260</c:v>
                </c:pt>
                <c:pt idx="7">
                  <c:v>26796.95</c:v>
                </c:pt>
                <c:pt idx="8">
                  <c:v>40473.53</c:v>
                </c:pt>
              </c:numCache>
            </c:numRef>
          </c:val>
        </c:ser>
        <c:dLbls>
          <c:showLegendKey val="0"/>
          <c:showVal val="0"/>
          <c:showCatName val="0"/>
          <c:showSerName val="0"/>
          <c:showPercent val="0"/>
          <c:showBubbleSize val="0"/>
        </c:dLbls>
        <c:gapWidth val="150"/>
        <c:shape val="cone"/>
        <c:axId val="338054528"/>
        <c:axId val="338080896"/>
        <c:axId val="0"/>
      </c:bar3DChart>
      <c:dateAx>
        <c:axId val="338054528"/>
        <c:scaling>
          <c:orientation val="minMax"/>
        </c:scaling>
        <c:delete val="0"/>
        <c:axPos val="b"/>
        <c:numFmt formatCode="mmm\-yy" sourceLinked="1"/>
        <c:majorTickMark val="out"/>
        <c:minorTickMark val="none"/>
        <c:tickLblPos val="nextTo"/>
        <c:crossAx val="338080896"/>
        <c:crosses val="autoZero"/>
        <c:auto val="1"/>
        <c:lblOffset val="100"/>
        <c:baseTimeUnit val="months"/>
      </c:dateAx>
      <c:valAx>
        <c:axId val="338080896"/>
        <c:scaling>
          <c:orientation val="minMax"/>
        </c:scaling>
        <c:delete val="0"/>
        <c:axPos val="l"/>
        <c:majorGridlines/>
        <c:numFmt formatCode="_(* #,##0.00_);_(* \(#,##0.00\);_(* &quot;-&quot;??_);_(@_)" sourceLinked="1"/>
        <c:majorTickMark val="out"/>
        <c:minorTickMark val="none"/>
        <c:tickLblPos val="nextTo"/>
        <c:crossAx val="338054528"/>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პარაზიტოლოგია!$A$2</c:f>
              <c:strCache>
                <c:ptCount val="1"/>
                <c:pt idx="0">
                  <c:v>შპს სამედიცინო პარაზიტოლოგიისა და ტროპიკული მედიცინის კვლევის ინსტიტუტი</c:v>
                </c:pt>
              </c:strCache>
            </c:strRef>
          </c:tx>
          <c:spPr>
            <a:solidFill>
              <a:srgbClr val="C00000"/>
            </a:solidFill>
            <a:effectLst>
              <a:innerShdw blurRad="63500" dist="50800">
                <a:prstClr val="black">
                  <a:alpha val="50000"/>
                </a:prstClr>
              </a:innerShdw>
            </a:effectLst>
            <a:scene3d>
              <a:camera prst="orthographicFront"/>
              <a:lightRig rig="threePt" dir="t"/>
            </a:scene3d>
            <a:sp3d>
              <a:bevelT w="101600" prst="riblet"/>
            </a:sp3d>
          </c:spPr>
          <c:invertIfNegative val="0"/>
          <c:cat>
            <c:numRef>
              <c:f>პარაზიტოლოგია!$B$1:$J$1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პარაზიტოლოგია!$B$2:$J$2</c:f>
              <c:numCache>
                <c:formatCode>_(* #,##0.00_);_(* \(#,##0.00\);_(* "-"??_);_(@_)</c:formatCode>
                <c:ptCount val="9"/>
                <c:pt idx="0">
                  <c:v>12364.36</c:v>
                </c:pt>
                <c:pt idx="1">
                  <c:v>14314.12</c:v>
                </c:pt>
                <c:pt idx="2">
                  <c:v>16729.5</c:v>
                </c:pt>
                <c:pt idx="3">
                  <c:v>10655.41</c:v>
                </c:pt>
                <c:pt idx="4">
                  <c:v>18992.21</c:v>
                </c:pt>
                <c:pt idx="5">
                  <c:v>21758.66</c:v>
                </c:pt>
                <c:pt idx="6">
                  <c:v>21220.85</c:v>
                </c:pt>
                <c:pt idx="7">
                  <c:v>19510.650000000001</c:v>
                </c:pt>
                <c:pt idx="8">
                  <c:v>19717.72</c:v>
                </c:pt>
              </c:numCache>
            </c:numRef>
          </c:val>
        </c:ser>
        <c:dLbls>
          <c:showLegendKey val="0"/>
          <c:showVal val="0"/>
          <c:showCatName val="0"/>
          <c:showSerName val="0"/>
          <c:showPercent val="0"/>
          <c:showBubbleSize val="0"/>
        </c:dLbls>
        <c:gapWidth val="150"/>
        <c:shape val="cone"/>
        <c:axId val="338146816"/>
        <c:axId val="338148352"/>
        <c:axId val="0"/>
      </c:bar3DChart>
      <c:dateAx>
        <c:axId val="338146816"/>
        <c:scaling>
          <c:orientation val="minMax"/>
        </c:scaling>
        <c:delete val="0"/>
        <c:axPos val="b"/>
        <c:numFmt formatCode="mmm\-yy" sourceLinked="1"/>
        <c:majorTickMark val="out"/>
        <c:minorTickMark val="none"/>
        <c:tickLblPos val="nextTo"/>
        <c:crossAx val="338148352"/>
        <c:crosses val="autoZero"/>
        <c:auto val="1"/>
        <c:lblOffset val="100"/>
        <c:baseTimeUnit val="months"/>
      </c:dateAx>
      <c:valAx>
        <c:axId val="338148352"/>
        <c:scaling>
          <c:orientation val="minMax"/>
        </c:scaling>
        <c:delete val="0"/>
        <c:axPos val="l"/>
        <c:majorGridlines/>
        <c:numFmt formatCode="_(* #,##0.00_);_(* \(#,##0.00\);_(* &quot;-&quot;??_);_(@_)" sourceLinked="1"/>
        <c:majorTickMark val="out"/>
        <c:minorTickMark val="none"/>
        <c:tickLblPos val="nextTo"/>
        <c:crossAx val="338146816"/>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'მედიქალ-სიტი'!$A$2</c:f>
              <c:strCache>
                <c:ptCount val="1"/>
                <c:pt idx="0">
                  <c:v>შპს მულტიპროფილური ჰოსპიტალი - მედიქალ სიტი და ინფექციურ დაავადებათა მართვის ცენტრი</c:v>
                </c:pt>
              </c:strCache>
            </c:strRef>
          </c:tx>
          <c:spPr>
            <a:solidFill>
              <a:srgbClr val="C00000"/>
            </a:solidFill>
            <a:scene3d>
              <a:camera prst="orthographicFront"/>
              <a:lightRig rig="threePt" dir="t"/>
            </a:scene3d>
            <a:sp3d prstMaterial="metal"/>
          </c:spPr>
          <c:invertIfNegative val="0"/>
          <c:cat>
            <c:numRef>
              <c:f>'მედიქალ-სიტი'!$B$1:$J$1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'მედიქალ-სიტი'!$B$2:$J$2</c:f>
              <c:numCache>
                <c:formatCode>_(* #,##0.00_);_(* \(#,##0.00\);_(* "-"??_);_(@_)</c:formatCode>
                <c:ptCount val="9"/>
                <c:pt idx="0">
                  <c:v>183844.47</c:v>
                </c:pt>
                <c:pt idx="1">
                  <c:v>171727.47</c:v>
                </c:pt>
                <c:pt idx="2">
                  <c:v>214182.47</c:v>
                </c:pt>
                <c:pt idx="3">
                  <c:v>197365.51</c:v>
                </c:pt>
                <c:pt idx="4">
                  <c:v>186197.72</c:v>
                </c:pt>
                <c:pt idx="5">
                  <c:v>176151.08</c:v>
                </c:pt>
                <c:pt idx="6">
                  <c:v>200490.8</c:v>
                </c:pt>
                <c:pt idx="7">
                  <c:v>213748.88</c:v>
                </c:pt>
                <c:pt idx="8">
                  <c:v>216227.88</c:v>
                </c:pt>
              </c:numCache>
            </c:numRef>
          </c:val>
        </c:ser>
        <c:dLbls>
          <c:showLegendKey val="0"/>
          <c:showVal val="0"/>
          <c:showCatName val="0"/>
          <c:showSerName val="0"/>
          <c:showPercent val="0"/>
          <c:showBubbleSize val="0"/>
        </c:dLbls>
        <c:gapWidth val="150"/>
        <c:shape val="cone"/>
        <c:axId val="338165120"/>
        <c:axId val="305865856"/>
        <c:axId val="0"/>
      </c:bar3DChart>
      <c:dateAx>
        <c:axId val="338165120"/>
        <c:scaling>
          <c:orientation val="minMax"/>
        </c:scaling>
        <c:delete val="0"/>
        <c:axPos val="b"/>
        <c:numFmt formatCode="mmm\-yy" sourceLinked="1"/>
        <c:majorTickMark val="out"/>
        <c:minorTickMark val="none"/>
        <c:tickLblPos val="nextTo"/>
        <c:crossAx val="305865856"/>
        <c:crosses val="autoZero"/>
        <c:auto val="1"/>
        <c:lblOffset val="100"/>
        <c:baseTimeUnit val="months"/>
      </c:dateAx>
      <c:valAx>
        <c:axId val="305865856"/>
        <c:scaling>
          <c:orientation val="minMax"/>
        </c:scaling>
        <c:delete val="0"/>
        <c:axPos val="l"/>
        <c:majorGridlines/>
        <c:numFmt formatCode="_(* #,##0.00_);_(* \(#,##0.00\);_(* &quot;-&quot;??_);_(@_)" sourceLinked="1"/>
        <c:majorTickMark val="out"/>
        <c:minorTickMark val="none"/>
        <c:tickLblPos val="nextTo"/>
        <c:crossAx val="338165120"/>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ინფექციური!$A$2</c:f>
              <c:strCache>
                <c:ptCount val="1"/>
                <c:pt idx="0">
                  <c:v>სს ინფექციური პათოლოგიის შიდსისა და კლინიკური იმუნოლოგიის სამეცნიერო-პრაქტიკული ცენტრი</c:v>
                </c:pt>
              </c:strCache>
            </c:strRef>
          </c:tx>
          <c:spPr>
            <a:solidFill>
              <a:schemeClr val="accent5">
                <a:lumMod val="75000"/>
              </a:schemeClr>
            </a:solidFill>
            <a:scene3d>
              <a:camera prst="orthographicFront"/>
              <a:lightRig rig="threePt" dir="t"/>
            </a:scene3d>
            <a:sp3d prstMaterial="dkEdge"/>
          </c:spPr>
          <c:invertIfNegative val="0"/>
          <c:cat>
            <c:numRef>
              <c:f>ინფექციური!$B$1:$J$1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ინფექციური!$B$2:$J$2</c:f>
              <c:numCache>
                <c:formatCode>_(* #,##0.00_);_(* \(#,##0.00\);_(* "-"??_);_(@_)</c:formatCode>
                <c:ptCount val="9"/>
                <c:pt idx="0">
                  <c:v>163818.81</c:v>
                </c:pt>
                <c:pt idx="1">
                  <c:v>121388.04</c:v>
                </c:pt>
                <c:pt idx="2">
                  <c:v>158016.16</c:v>
                </c:pt>
                <c:pt idx="3">
                  <c:v>165074.29</c:v>
                </c:pt>
                <c:pt idx="4">
                  <c:v>138402.63</c:v>
                </c:pt>
                <c:pt idx="5">
                  <c:v>161042.29999999999</c:v>
                </c:pt>
                <c:pt idx="6">
                  <c:v>168118.38</c:v>
                </c:pt>
                <c:pt idx="7">
                  <c:v>125521.23</c:v>
                </c:pt>
                <c:pt idx="8">
                  <c:v>170920.99</c:v>
                </c:pt>
              </c:numCache>
            </c:numRef>
          </c:val>
        </c:ser>
        <c:dLbls>
          <c:showLegendKey val="0"/>
          <c:showVal val="0"/>
          <c:showCatName val="0"/>
          <c:showSerName val="0"/>
          <c:showPercent val="0"/>
          <c:showBubbleSize val="0"/>
        </c:dLbls>
        <c:gapWidth val="150"/>
        <c:shape val="cone"/>
        <c:axId val="305899008"/>
        <c:axId val="305900544"/>
        <c:axId val="0"/>
      </c:bar3DChart>
      <c:dateAx>
        <c:axId val="305899008"/>
        <c:scaling>
          <c:orientation val="minMax"/>
        </c:scaling>
        <c:delete val="0"/>
        <c:axPos val="b"/>
        <c:numFmt formatCode="mmm\-yy" sourceLinked="1"/>
        <c:majorTickMark val="out"/>
        <c:minorTickMark val="none"/>
        <c:tickLblPos val="nextTo"/>
        <c:crossAx val="305900544"/>
        <c:crosses val="autoZero"/>
        <c:auto val="1"/>
        <c:lblOffset val="100"/>
        <c:baseTimeUnit val="months"/>
      </c:dateAx>
      <c:valAx>
        <c:axId val="305900544"/>
        <c:scaling>
          <c:orientation val="minMax"/>
        </c:scaling>
        <c:delete val="0"/>
        <c:axPos val="l"/>
        <c:majorGridlines/>
        <c:numFmt formatCode="_(* #,##0.00_);_(* \(#,##0.00\);_(* &quot;-&quot;??_);_(@_)" sourceLinked="1"/>
        <c:majorTickMark val="out"/>
        <c:minorTickMark val="none"/>
        <c:tickLblPos val="nextTo"/>
        <c:crossAx val="305899008"/>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სეფსისი!$A$2</c:f>
              <c:strCache>
                <c:ptCount val="1"/>
                <c:pt idx="0">
                  <c:v>შპს აკადემიკოს ვახტანგ ბოჭორიშვილის სახელობის სეფსისის და ინფექციურ პათოლოგიათა კლინიკა</c:v>
                </c:pt>
              </c:strCache>
            </c:strRef>
          </c:tx>
          <c:spPr>
            <a:solidFill>
              <a:schemeClr val="bg2">
                <a:lumMod val="50000"/>
              </a:schemeClr>
            </a:solidFill>
            <a:scene3d>
              <a:camera prst="orthographicFront"/>
              <a:lightRig rig="threePt" dir="t"/>
            </a:scene3d>
            <a:sp3d prstMaterial="metal"/>
          </c:spPr>
          <c:invertIfNegative val="0"/>
          <c:cat>
            <c:numRef>
              <c:f>სეფსისი!$B$1:$J$1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სეფსისი!$B$2:$J$2</c:f>
              <c:numCache>
                <c:formatCode>_(* #,##0.00_);_(* \(#,##0.00\);_(* "-"??_);_(@_)</c:formatCode>
                <c:ptCount val="9"/>
                <c:pt idx="0">
                  <c:v>98575.83</c:v>
                </c:pt>
                <c:pt idx="1">
                  <c:v>60561.17</c:v>
                </c:pt>
                <c:pt idx="2">
                  <c:v>77046.539999999994</c:v>
                </c:pt>
                <c:pt idx="3">
                  <c:v>87671.7</c:v>
                </c:pt>
                <c:pt idx="4">
                  <c:v>95337.08</c:v>
                </c:pt>
                <c:pt idx="5">
                  <c:v>86478.2</c:v>
                </c:pt>
                <c:pt idx="6">
                  <c:v>92933</c:v>
                </c:pt>
                <c:pt idx="7">
                  <c:v>89892.15</c:v>
                </c:pt>
                <c:pt idx="8">
                  <c:v>101403.96</c:v>
                </c:pt>
              </c:numCache>
            </c:numRef>
          </c:val>
        </c:ser>
        <c:dLbls>
          <c:showLegendKey val="0"/>
          <c:showVal val="0"/>
          <c:showCatName val="0"/>
          <c:showSerName val="0"/>
          <c:showPercent val="0"/>
          <c:showBubbleSize val="0"/>
        </c:dLbls>
        <c:gapWidth val="150"/>
        <c:shape val="cone"/>
        <c:axId val="327945216"/>
        <c:axId val="327951104"/>
        <c:axId val="0"/>
      </c:bar3DChart>
      <c:dateAx>
        <c:axId val="327945216"/>
        <c:scaling>
          <c:orientation val="minMax"/>
        </c:scaling>
        <c:delete val="0"/>
        <c:axPos val="b"/>
        <c:numFmt formatCode="mmm\-yy" sourceLinked="1"/>
        <c:majorTickMark val="out"/>
        <c:minorTickMark val="none"/>
        <c:tickLblPos val="nextTo"/>
        <c:crossAx val="327951104"/>
        <c:crosses val="autoZero"/>
        <c:auto val="1"/>
        <c:lblOffset val="100"/>
        <c:baseTimeUnit val="months"/>
      </c:dateAx>
      <c:valAx>
        <c:axId val="327951104"/>
        <c:scaling>
          <c:orientation val="minMax"/>
        </c:scaling>
        <c:delete val="0"/>
        <c:axPos val="l"/>
        <c:majorGridlines/>
        <c:numFmt formatCode="_(* #,##0.00_);_(* \(#,##0.00\);_(* &quot;-&quot;??_);_(@_)" sourceLinked="1"/>
        <c:majorTickMark val="out"/>
        <c:minorTickMark val="none"/>
        <c:tickLblPos val="nextTo"/>
        <c:crossAx val="327945216"/>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237560360203596"/>
          <c:y val="1.5533980582524271E-2"/>
        </c:manualLayout>
      </c:layout>
      <c:overlay val="0"/>
    </c:title>
    <c:autoTitleDeleted val="0"/>
    <c:plotArea>
      <c:layout/>
      <c:pieChart>
        <c:varyColors val="1"/>
        <c:ser>
          <c:idx val="0"/>
          <c:order val="0"/>
          <c:tx>
            <c:strRef>
              <c:f>'ნაწლავთა ინფექციები'!$A$4</c:f>
              <c:strCache>
                <c:ptCount val="1"/>
                <c:pt idx="0">
                  <c:v>სხვა ნაწლავთა ინფექციები</c:v>
                </c:pt>
              </c:strCache>
            </c:strRef>
          </c:tx>
          <c:dLbls>
            <c:showLegendKey val="0"/>
            <c:showVal val="0"/>
            <c:showCatName val="0"/>
            <c:showSerName val="0"/>
            <c:showPercent val="1"/>
            <c:showBubbleSize val="0"/>
            <c:showLeaderLines val="1"/>
          </c:dLbls>
          <c:cat>
            <c:strRef>
              <c:f>'ნაწლავთა ინფექციები'!$B$3:$T$3</c:f>
              <c:strCache>
                <c:ptCount val="18"/>
                <c:pt idx="0">
                  <c:v>სს  "იავნანა"</c:v>
                </c:pt>
                <c:pt idx="1">
                  <c:v>სს "რუსთავის ბავშვთა საავადმყოფო"</c:v>
                </c:pt>
                <c:pt idx="2">
                  <c:v>სს "რუსთავის ცენტრალური საავადმყოფო"</c:v>
                </c:pt>
                <c:pt idx="3">
                  <c:v>სს ინფექციური პათოლოგიის შიდსისა და კლინიკური იმუნოლოგიის სამეცნიერო-პრაქტიკული ცენტრი</c:v>
                </c:pt>
                <c:pt idx="4">
                  <c:v>სსიპ გიორგი აბრამიშვილის სახელობის საქართველოს თავდაცვის სამინისტროს სამხედრო ჰოსპიტალი</c:v>
                </c:pt>
                <c:pt idx="5">
                  <c:v>შპს "ზუგდიდის ინფექციური საავადმყოფო"</c:v>
                </c:pt>
                <c:pt idx="6">
                  <c:v>შპს "უნიმედი კახეთი"-ბათუმის დედათა და ბავშვთა ჯანმრთელობის ცენტრი"</c:v>
                </c:pt>
                <c:pt idx="7">
                  <c:v>შპს "ქ.თბილისის ბავშვთა ინფექციური კლინიკური საავადმყოფო"</c:v>
                </c:pt>
                <c:pt idx="8">
                  <c:v>შპს ,,უნიმედი კახეთი"-თბილისის რეფერალური ჰოსპიტალი</c:v>
                </c:pt>
                <c:pt idx="9">
                  <c:v>შპს „ქ. ბათუმის ინფექციური პათოლოგიის, შიდსის და ტუბერკულოზის რეგიონალური ცენტრი"</c:v>
                </c:pt>
                <c:pt idx="10">
                  <c:v>შპს აკადემიკოს ვახტანგ ბოჭორიშვილის სახელობის სეფსისის და ინფექციურ პათოლოგიათა კლინიკა</c:v>
                </c:pt>
                <c:pt idx="11">
                  <c:v>შპს ალიანს მედ სერვისი</c:v>
                </c:pt>
                <c:pt idx="12">
                  <c:v>შპს გორმედი</c:v>
                </c:pt>
                <c:pt idx="13">
                  <c:v>შპს მედალფა (ოზურგეთი)</c:v>
                </c:pt>
                <c:pt idx="14">
                  <c:v>შპს მულტიპროფილური ჰოსპიტალი - მედიქალ სიტი და ინფექციურ დაავადებათა მართვის ცენტრი</c:v>
                </c:pt>
                <c:pt idx="15">
                  <c:v>შპს სამედიცინო პარაზიტოლოგიისა და ტროპიკული მედიცინის კვლევის ინსტიტუტი</c:v>
                </c:pt>
                <c:pt idx="16">
                  <c:v>შპს უნიმედი სამცხე</c:v>
                </c:pt>
                <c:pt idx="17">
                  <c:v>შპს ჯეო ჰოსპიტალს</c:v>
                </c:pt>
              </c:strCache>
            </c:strRef>
          </c:cat>
          <c:val>
            <c:numRef>
              <c:f>'ნაწლავთა ინფექციები'!$B$4:$T$4</c:f>
              <c:numCache>
                <c:formatCode>General</c:formatCode>
                <c:ptCount val="18"/>
                <c:pt idx="0">
                  <c:v>137</c:v>
                </c:pt>
                <c:pt idx="1">
                  <c:v>426</c:v>
                </c:pt>
                <c:pt idx="2">
                  <c:v>113</c:v>
                </c:pt>
                <c:pt idx="3">
                  <c:v>990</c:v>
                </c:pt>
                <c:pt idx="4">
                  <c:v>5</c:v>
                </c:pt>
                <c:pt idx="5">
                  <c:v>76</c:v>
                </c:pt>
                <c:pt idx="6">
                  <c:v>801</c:v>
                </c:pt>
                <c:pt idx="7">
                  <c:v>1464</c:v>
                </c:pt>
                <c:pt idx="8">
                  <c:v>179</c:v>
                </c:pt>
                <c:pt idx="9">
                  <c:v>107</c:v>
                </c:pt>
                <c:pt idx="10">
                  <c:v>0</c:v>
                </c:pt>
                <c:pt idx="11">
                  <c:v>106</c:v>
                </c:pt>
                <c:pt idx="12">
                  <c:v>235</c:v>
                </c:pt>
                <c:pt idx="13">
                  <c:v>26</c:v>
                </c:pt>
                <c:pt idx="14">
                  <c:v>437</c:v>
                </c:pt>
                <c:pt idx="15">
                  <c:v>0</c:v>
                </c:pt>
                <c:pt idx="16">
                  <c:v>106</c:v>
                </c:pt>
                <c:pt idx="17">
                  <c:v>50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742173112338859"/>
          <c:y val="0"/>
          <c:w val="0.39373848987108656"/>
          <c:h val="1"/>
        </c:manualLayout>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9.2040725984949071E-2"/>
          <c:y val="1.65975139886331E-2"/>
        </c:manualLayout>
      </c:layout>
      <c:overlay val="0"/>
      <c:txPr>
        <a:bodyPr/>
        <a:lstStyle/>
        <a:p>
          <a:pPr>
            <a:defRPr sz="1000"/>
          </a:pPr>
          <a:endParaRPr lang="en-US"/>
        </a:p>
      </c:txPr>
    </c:title>
    <c:autoTitleDeleted val="0"/>
    <c:plotArea>
      <c:layout/>
      <c:pieChart>
        <c:varyColors val="1"/>
        <c:ser>
          <c:idx val="0"/>
          <c:order val="0"/>
          <c:tx>
            <c:strRef>
              <c:f>ჰემოკოლიტი!$A$4</c:f>
              <c:strCache>
                <c:ptCount val="1"/>
                <c:pt idx="0">
                  <c:v>ნაწლავთა ინფექციები მიმდინარე ჰემოკოლიტით</c:v>
                </c:pt>
              </c:strCache>
            </c:strRef>
          </c:tx>
          <c:dLbls>
            <c:showLegendKey val="0"/>
            <c:showVal val="0"/>
            <c:showCatName val="0"/>
            <c:showSerName val="0"/>
            <c:showPercent val="1"/>
            <c:showBubbleSize val="0"/>
            <c:showLeaderLines val="1"/>
          </c:dLbls>
          <c:cat>
            <c:strRef>
              <c:f>ჰემოკოლიტი!$B$3:$M$3</c:f>
              <c:strCache>
                <c:ptCount val="11"/>
                <c:pt idx="0">
                  <c:v>სს "რუსთავის ცენტრალური საავადმყოფო"</c:v>
                </c:pt>
                <c:pt idx="1">
                  <c:v>სს ინფექციური პათოლოგიის შიდსისა და კლინიკური იმუნოლოგიის სამეცნიერო-პრაქტიკული ცენტრი</c:v>
                </c:pt>
                <c:pt idx="2">
                  <c:v>სსიპ გიორგი აბრამიშვილის სახელობის საქართველოს თავდაცვის სამინისტროს სამხედრო ჰოსპიტალი</c:v>
                </c:pt>
                <c:pt idx="3">
                  <c:v>შპს "უნიმედი კახეთი"-ბათუმის დედათა და ბავშვთა ჯანმრთელობის ცენტრი"</c:v>
                </c:pt>
                <c:pt idx="4">
                  <c:v>შპს "ქ.თბილისის ბავშვთა ინფექციური კლინიკური საავადმყოფო"</c:v>
                </c:pt>
                <c:pt idx="5">
                  <c:v>შპს „ქ. ბათუმის ინფექციური პათოლოგიის, შიდსის და ტუბერკულოზის რეგიონალური ცენტრი"</c:v>
                </c:pt>
                <c:pt idx="6">
                  <c:v>შპს გორმედი</c:v>
                </c:pt>
                <c:pt idx="7">
                  <c:v>შპს მედალფა (ოზურგეთი)</c:v>
                </c:pt>
                <c:pt idx="8">
                  <c:v>შპს მულტიპროფილური ჰოსპიტალი - მედიქალ სიტი და ინფექციურ დაავადებათა მართვის ცენტრი</c:v>
                </c:pt>
                <c:pt idx="9">
                  <c:v>შპს უნიმედი სამცხე</c:v>
                </c:pt>
                <c:pt idx="10">
                  <c:v>შპს ჯეო ჰოსპიტალს</c:v>
                </c:pt>
              </c:strCache>
            </c:strRef>
          </c:cat>
          <c:val>
            <c:numRef>
              <c:f>ჰემოკოლიტი!$B$4:$M$4</c:f>
              <c:numCache>
                <c:formatCode>General</c:formatCode>
                <c:ptCount val="11"/>
                <c:pt idx="0">
                  <c:v>14</c:v>
                </c:pt>
                <c:pt idx="1">
                  <c:v>25</c:v>
                </c:pt>
                <c:pt idx="2">
                  <c:v>5</c:v>
                </c:pt>
                <c:pt idx="3">
                  <c:v>1</c:v>
                </c:pt>
                <c:pt idx="4">
                  <c:v>1122</c:v>
                </c:pt>
                <c:pt idx="5">
                  <c:v>10</c:v>
                </c:pt>
                <c:pt idx="6">
                  <c:v>17</c:v>
                </c:pt>
                <c:pt idx="7">
                  <c:v>1</c:v>
                </c:pt>
                <c:pt idx="8">
                  <c:v>230</c:v>
                </c:pt>
                <c:pt idx="9">
                  <c:v>3</c:v>
                </c:pt>
                <c:pt idx="10">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1527315061712906"/>
          <c:y val="2.1916688458223164E-2"/>
          <c:w val="0.37410267939615116"/>
          <c:h val="0.9780832223746686"/>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n-US"/>
        </a:p>
      </c:txPr>
    </c:title>
    <c:autoTitleDeleted val="0"/>
    <c:plotArea>
      <c:layout/>
      <c:pieChart>
        <c:varyColors val="1"/>
        <c:ser>
          <c:idx val="0"/>
          <c:order val="0"/>
          <c:tx>
            <c:strRef>
              <c:f>'სხვა ვირუსული'!$A$4</c:f>
              <c:strCache>
                <c:ptCount val="1"/>
                <c:pt idx="0">
                  <c:v>სხვა ვირუსული ინფექციები</c:v>
                </c:pt>
              </c:strCache>
            </c:strRef>
          </c:tx>
          <c:dLbls>
            <c:showLegendKey val="0"/>
            <c:showVal val="0"/>
            <c:showCatName val="0"/>
            <c:showSerName val="0"/>
            <c:showPercent val="1"/>
            <c:showBubbleSize val="0"/>
            <c:showLeaderLines val="1"/>
          </c:dLbls>
          <c:cat>
            <c:strRef>
              <c:f>'სხვა ვირუსული'!$B$3:$Q$3</c:f>
              <c:strCache>
                <c:ptCount val="15"/>
                <c:pt idx="0">
                  <c:v>სს  "იავნანა"</c:v>
                </c:pt>
                <c:pt idx="1">
                  <c:v>სს "რუსთავის ბავშვთა საავადმყოფო"</c:v>
                </c:pt>
                <c:pt idx="2">
                  <c:v>სს "რუსთავის ცენტრალური საავადმყოფო"</c:v>
                </c:pt>
                <c:pt idx="3">
                  <c:v>სს ინფექციური პათოლოგიის შიდსისა და კლინიკური იმუნოლოგიის სამეცნიერო-პრაქტიკული ცენტრი</c:v>
                </c:pt>
                <c:pt idx="4">
                  <c:v>სსიპ გიორგი აბრამიშვილის სახელობის საქართველოს თავდაცვის სამინისტროს სამხედრო ჰოსპიტალი</c:v>
                </c:pt>
                <c:pt idx="5">
                  <c:v>შპს "ზუგდიდის ინფექციური საავადმყოფო"</c:v>
                </c:pt>
                <c:pt idx="6">
                  <c:v>შპს "უნიმედი კახეთი"-ბათუმის დედათა და ბავშვთა ჯანმრთელობის ცენტრი"</c:v>
                </c:pt>
                <c:pt idx="7">
                  <c:v>შპს "ქ.თბილისის ბავშვთა ინფექციური კლინიკური საავადმყოფო"</c:v>
                </c:pt>
                <c:pt idx="8">
                  <c:v>შპს ,,უნიმედი კახეთი"-თბილისის რეფერალური ჰოსპიტალი</c:v>
                </c:pt>
                <c:pt idx="9">
                  <c:v>შპს „ქ. ბათუმის ინფექციური პათოლოგიის, შიდსის და ტუბერკულოზის რეგიონალური ცენტრი"</c:v>
                </c:pt>
                <c:pt idx="10">
                  <c:v>შპს გორმედი</c:v>
                </c:pt>
                <c:pt idx="11">
                  <c:v>შპს მედალფა (ოზურგეთი)</c:v>
                </c:pt>
                <c:pt idx="12">
                  <c:v>შპს მულტიპროფილური ჰოსპიტალი - მედიქალ სიტი და ინფექციურ დაავადებათა მართვის ცენტრი</c:v>
                </c:pt>
                <c:pt idx="13">
                  <c:v>შპს უნიმედი სამცხე</c:v>
                </c:pt>
                <c:pt idx="14">
                  <c:v>შპს ჯეო ჰოსპიტალს</c:v>
                </c:pt>
              </c:strCache>
            </c:strRef>
          </c:cat>
          <c:val>
            <c:numRef>
              <c:f>'სხვა ვირუსული'!$B$4:$Q$4</c:f>
              <c:numCache>
                <c:formatCode>General</c:formatCode>
                <c:ptCount val="15"/>
                <c:pt idx="0">
                  <c:v>372</c:v>
                </c:pt>
                <c:pt idx="1">
                  <c:v>37</c:v>
                </c:pt>
                <c:pt idx="2">
                  <c:v>53</c:v>
                </c:pt>
                <c:pt idx="3">
                  <c:v>330</c:v>
                </c:pt>
                <c:pt idx="4">
                  <c:v>20</c:v>
                </c:pt>
                <c:pt idx="5">
                  <c:v>3</c:v>
                </c:pt>
                <c:pt idx="6">
                  <c:v>83</c:v>
                </c:pt>
                <c:pt idx="7">
                  <c:v>514</c:v>
                </c:pt>
                <c:pt idx="8">
                  <c:v>104</c:v>
                </c:pt>
                <c:pt idx="9">
                  <c:v>68</c:v>
                </c:pt>
                <c:pt idx="10">
                  <c:v>103</c:v>
                </c:pt>
                <c:pt idx="11">
                  <c:v>37</c:v>
                </c:pt>
                <c:pt idx="12">
                  <c:v>1703</c:v>
                </c:pt>
                <c:pt idx="13">
                  <c:v>21</c:v>
                </c:pt>
                <c:pt idx="14">
                  <c:v>66</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5.9002635339145904E-2"/>
          <c:y val="5.5718763938787504E-2"/>
          <c:w val="0.8819945693132597"/>
          <c:h val="0.59944865453683982"/>
        </c:manualLayout>
      </c:layout>
      <c:overlay val="0"/>
      <c:txPr>
        <a:bodyPr/>
        <a:lstStyle/>
        <a:p>
          <a:pPr>
            <a:defRPr sz="10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'შემთხვევები-ფასი-16'!$B$3</c:f>
              <c:strCache>
                <c:ptCount val="1"/>
                <c:pt idx="0">
                  <c:v>ერთეულის ფასი</c:v>
                </c:pt>
              </c:strCache>
            </c:strRef>
          </c:tx>
          <c:invertIfNegative val="0"/>
          <c:cat>
            <c:strRef>
              <c:f>'შემთხვევები-ფასი-16'!$A$4:$A$13</c:f>
              <c:strCache>
                <c:ptCount val="10"/>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strCache>
            </c:strRef>
          </c:cat>
          <c:val>
            <c:numRef>
              <c:f>'შემთხვევები-ფასი-16'!$B$4:$B$13</c:f>
            </c:numRef>
          </c:val>
        </c:ser>
        <c:ser>
          <c:idx val="1"/>
          <c:order val="1"/>
          <c:tx>
            <c:strRef>
              <c:f>'შემთხვევები-ფასი-16'!$C$3</c:f>
              <c:strCache>
                <c:ptCount val="1"/>
                <c:pt idx="0">
                  <c:v>რაოდენობა</c:v>
                </c:pt>
              </c:strCache>
            </c:strRef>
          </c:tx>
          <c:spPr>
            <a:solidFill>
              <a:schemeClr val="accent1">
                <a:lumMod val="50000"/>
              </a:schemeClr>
            </a:solidFill>
            <a:scene3d>
              <a:camera prst="orthographicFront"/>
              <a:lightRig rig="threePt" dir="t"/>
            </a:scene3d>
            <a:sp3d>
              <a:bevelT prst="slope"/>
            </a:sp3d>
          </c:spPr>
          <c:invertIfNegative val="0"/>
          <c:cat>
            <c:strRef>
              <c:f>'შემთხვევები-ფასი-16'!$A$4:$A$13</c:f>
              <c:strCache>
                <c:ptCount val="10"/>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strCache>
            </c:strRef>
          </c:cat>
          <c:val>
            <c:numRef>
              <c:f>'შემთხვევები-ფასი-16'!$C$4:$C$13</c:f>
              <c:numCache>
                <c:formatCode>General</c:formatCode>
                <c:ptCount val="10"/>
                <c:pt idx="0">
                  <c:v>5260</c:v>
                </c:pt>
                <c:pt idx="1">
                  <c:v>1429</c:v>
                </c:pt>
                <c:pt idx="2">
                  <c:v>3514</c:v>
                </c:pt>
                <c:pt idx="3">
                  <c:v>1478</c:v>
                </c:pt>
                <c:pt idx="4">
                  <c:v>821</c:v>
                </c:pt>
                <c:pt idx="5">
                  <c:v>861</c:v>
                </c:pt>
                <c:pt idx="6">
                  <c:v>405</c:v>
                </c:pt>
                <c:pt idx="7">
                  <c:v>295</c:v>
                </c:pt>
                <c:pt idx="8">
                  <c:v>206</c:v>
                </c:pt>
                <c:pt idx="9">
                  <c:v>114</c:v>
                </c:pt>
              </c:numCache>
            </c:numRef>
          </c:val>
        </c:ser>
        <c:ser>
          <c:idx val="2"/>
          <c:order val="2"/>
          <c:tx>
            <c:strRef>
              <c:f>'შემთხვევები-ფასი-16'!$D$3</c:f>
              <c:strCache>
                <c:ptCount val="1"/>
                <c:pt idx="0">
                  <c:v>ფასი</c:v>
                </c:pt>
              </c:strCache>
            </c:strRef>
          </c:tx>
          <c:spPr>
            <a:solidFill>
              <a:schemeClr val="accent2">
                <a:lumMod val="75000"/>
              </a:schemeClr>
            </a:solidFill>
            <a:scene3d>
              <a:camera prst="orthographicFront"/>
              <a:lightRig rig="threePt" dir="t"/>
            </a:scene3d>
            <a:sp3d>
              <a:bevelT prst="slope"/>
            </a:sp3d>
          </c:spPr>
          <c:invertIfNegative val="0"/>
          <c:cat>
            <c:strRef>
              <c:f>'შემთხვევები-ფასი-16'!$A$4:$A$13</c:f>
              <c:strCache>
                <c:ptCount val="10"/>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strCache>
            </c:strRef>
          </c:cat>
          <c:val>
            <c:numRef>
              <c:f>'შემთხვევები-ფასი-16'!$D$4:$D$13</c:f>
              <c:numCache>
                <c:formatCode>General</c:formatCode>
                <c:ptCount val="10"/>
                <c:pt idx="0">
                  <c:v>380</c:v>
                </c:pt>
                <c:pt idx="1">
                  <c:v>800</c:v>
                </c:pt>
                <c:pt idx="2">
                  <c:v>550</c:v>
                </c:pt>
                <c:pt idx="3">
                  <c:v>880</c:v>
                </c:pt>
                <c:pt idx="4">
                  <c:v>1100</c:v>
                </c:pt>
                <c:pt idx="5">
                  <c:v>3000</c:v>
                </c:pt>
                <c:pt idx="6">
                  <c:v>250</c:v>
                </c:pt>
                <c:pt idx="7">
                  <c:v>2150</c:v>
                </c:pt>
                <c:pt idx="8">
                  <c:v>1200</c:v>
                </c:pt>
                <c:pt idx="9">
                  <c:v>2300</c:v>
                </c:pt>
              </c:numCache>
            </c:numRef>
          </c:val>
        </c:ser>
        <c:dLbls>
          <c:showLegendKey val="0"/>
          <c:showVal val="0"/>
          <c:showCatName val="0"/>
          <c:showSerName val="0"/>
          <c:showPercent val="0"/>
          <c:showBubbleSize val="0"/>
        </c:dLbls>
        <c:gapWidth val="150"/>
        <c:axId val="336034048"/>
        <c:axId val="336035840"/>
      </c:barChart>
      <c:catAx>
        <c:axId val="336034048"/>
        <c:scaling>
          <c:orientation val="minMax"/>
        </c:scaling>
        <c:delete val="0"/>
        <c:axPos val="b"/>
        <c:majorTickMark val="out"/>
        <c:minorTickMark val="none"/>
        <c:tickLblPos val="nextTo"/>
        <c:crossAx val="336035840"/>
        <c:crosses val="autoZero"/>
        <c:auto val="1"/>
        <c:lblAlgn val="ctr"/>
        <c:lblOffset val="100"/>
        <c:noMultiLvlLbl val="0"/>
      </c:catAx>
      <c:valAx>
        <c:axId val="336035840"/>
        <c:scaling>
          <c:orientation val="minMax"/>
        </c:scaling>
        <c:delete val="0"/>
        <c:axPos val="l"/>
        <c:majorGridlines/>
        <c:numFmt formatCode="General" sourceLinked="1"/>
        <c:majorTickMark val="out"/>
        <c:minorTickMark val="none"/>
        <c:tickLblPos val="nextTo"/>
        <c:crossAx val="336034048"/>
        <c:crosses val="autoZero"/>
        <c:crossBetween val="between"/>
      </c:valAx>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n-US"/>
        </a:p>
      </c:txPr>
    </c:title>
    <c:autoTitleDeleted val="0"/>
    <c:plotArea>
      <c:layout/>
      <c:pieChart>
        <c:varyColors val="1"/>
        <c:ser>
          <c:idx val="0"/>
          <c:order val="0"/>
          <c:tx>
            <c:strRef>
              <c:f>'სხვა ბაქტერიული'!$A$4</c:f>
              <c:strCache>
                <c:ptCount val="1"/>
                <c:pt idx="0">
                  <c:v>სხვა ბაქტერიული ინფექციები</c:v>
                </c:pt>
              </c:strCache>
            </c:strRef>
          </c:tx>
          <c:dLbls>
            <c:showLegendKey val="0"/>
            <c:showVal val="0"/>
            <c:showCatName val="0"/>
            <c:showSerName val="0"/>
            <c:showPercent val="1"/>
            <c:showBubbleSize val="0"/>
            <c:showLeaderLines val="1"/>
          </c:dLbls>
          <c:cat>
            <c:strRef>
              <c:f>'სხვა ბაქტერიული'!$B$3:$Q$3</c:f>
              <c:strCache>
                <c:ptCount val="15"/>
                <c:pt idx="0">
                  <c:v>სს  "იავნანა"</c:v>
                </c:pt>
                <c:pt idx="1">
                  <c:v>სს "რუსთავის ბავშვთა საავადმყოფო"</c:v>
                </c:pt>
                <c:pt idx="2">
                  <c:v>სს "რუსთავის ცენტრალური საავადმყოფო"</c:v>
                </c:pt>
                <c:pt idx="3">
                  <c:v>სს ინფექციური პათოლოგიის შიდსისა და კლინიკური იმუნოლოგიის სამეცნიერო-პრაქტიკული ცენტრი</c:v>
                </c:pt>
                <c:pt idx="4">
                  <c:v>სსიპ გიორგი აბრამიშვილის სახელობის საქართველოს თავდაცვის სამინისტროს სამხედრო ჰოსპიტალი</c:v>
                </c:pt>
                <c:pt idx="5">
                  <c:v>შპს "ზუგდიდის ინფექციური საავადმყოფო"</c:v>
                </c:pt>
                <c:pt idx="6">
                  <c:v>შპს "უნიმედი კახეთი"-ბათუმის დედათა და ბავშვთა ჯანმრთელობის ცენტრი"</c:v>
                </c:pt>
                <c:pt idx="7">
                  <c:v>შპს "ქ.თბილისის ბავშვთა ინფექციური კლინიკური საავადმყოფო"</c:v>
                </c:pt>
                <c:pt idx="8">
                  <c:v>შპს ,,უნიმედი კახეთი"-თბილისის რეფერალური ჰოსპიტალი</c:v>
                </c:pt>
                <c:pt idx="9">
                  <c:v>შპს „ქ. ბათუმის ინფექციური პათოლოგიის, შიდსის და ტუბერკულოზის რეგიონალური ცენტრი"</c:v>
                </c:pt>
                <c:pt idx="10">
                  <c:v>შპს აკადემიკოს ვახტანგ ბოჭორიშვილის სახელობის სეფსისის და ინფექციურ პათოლოგიათა კლინიკა</c:v>
                </c:pt>
                <c:pt idx="11">
                  <c:v>შპს გორმედი</c:v>
                </c:pt>
                <c:pt idx="12">
                  <c:v>შპს მულტიპროფილური ჰოსპიტალი - მედიქალ სიტი და ინფექციურ დაავადებათა მართვის ცენტრი</c:v>
                </c:pt>
                <c:pt idx="13">
                  <c:v>შპს უნიმედი სამცხე</c:v>
                </c:pt>
                <c:pt idx="14">
                  <c:v>შპს ჯეო ჰოსპიტალს</c:v>
                </c:pt>
              </c:strCache>
            </c:strRef>
          </c:cat>
          <c:val>
            <c:numRef>
              <c:f>'სხვა ბაქტერიული'!$B$4:$Q$4</c:f>
              <c:numCache>
                <c:formatCode>General</c:formatCode>
                <c:ptCount val="15"/>
                <c:pt idx="0">
                  <c:v>139</c:v>
                </c:pt>
                <c:pt idx="1">
                  <c:v>8</c:v>
                </c:pt>
                <c:pt idx="2">
                  <c:v>64</c:v>
                </c:pt>
                <c:pt idx="3">
                  <c:v>232</c:v>
                </c:pt>
                <c:pt idx="4">
                  <c:v>20</c:v>
                </c:pt>
                <c:pt idx="5">
                  <c:v>2</c:v>
                </c:pt>
                <c:pt idx="6">
                  <c:v>249</c:v>
                </c:pt>
                <c:pt idx="7">
                  <c:v>404</c:v>
                </c:pt>
                <c:pt idx="8">
                  <c:v>4</c:v>
                </c:pt>
                <c:pt idx="9">
                  <c:v>12</c:v>
                </c:pt>
                <c:pt idx="10">
                  <c:v>68</c:v>
                </c:pt>
                <c:pt idx="11">
                  <c:v>36</c:v>
                </c:pt>
                <c:pt idx="12">
                  <c:v>227</c:v>
                </c:pt>
                <c:pt idx="13">
                  <c:v>4</c:v>
                </c:pt>
                <c:pt idx="14">
                  <c:v>9</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6.1428941891245634E-2"/>
          <c:y val="3.8742951450969607E-2"/>
          <c:w val="0.87714194782538413"/>
          <c:h val="0.61769796310875802"/>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'ერთეულის მიხედვით 2-15-16'!$C$3</c:f>
              <c:strCache>
                <c:ptCount val="1"/>
                <c:pt idx="0">
                  <c:v>ერთეულის ფასი</c:v>
                </c:pt>
              </c:strCache>
            </c:strRef>
          </c:tx>
          <c:invertIfNegative val="0"/>
          <c:cat>
            <c:strRef>
              <c:f>'ერთეულის მიხედვით 2-15-16'!$B$4:$B$12</c:f>
              <c:strCache>
                <c:ptCount val="9"/>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strCache>
            </c:strRef>
          </c:cat>
          <c:val>
            <c:numRef>
              <c:f>'ერთეულის მიხედვით 2-15-16'!$C$4:$C$12</c:f>
            </c:numRef>
          </c:val>
        </c:ser>
        <c:ser>
          <c:idx val="1"/>
          <c:order val="1"/>
          <c:tx>
            <c:strRef>
              <c:f>'ერთეულის მიხედვით 2-15-16'!$D$3</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'ერთეულის მიხედვით 2-15-16'!$B$4:$B$12</c:f>
              <c:strCache>
                <c:ptCount val="9"/>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strCache>
            </c:strRef>
          </c:cat>
          <c:val>
            <c:numRef>
              <c:f>'ერთეულის მიხედვით 2-15-16'!$D$4:$D$12</c:f>
              <c:numCache>
                <c:formatCode>General</c:formatCode>
                <c:ptCount val="9"/>
                <c:pt idx="0">
                  <c:v>55</c:v>
                </c:pt>
                <c:pt idx="1">
                  <c:v>16</c:v>
                </c:pt>
                <c:pt idx="2">
                  <c:v>50</c:v>
                </c:pt>
                <c:pt idx="3">
                  <c:v>19</c:v>
                </c:pt>
                <c:pt idx="4">
                  <c:v>7</c:v>
                </c:pt>
                <c:pt idx="5">
                  <c:v>51</c:v>
                </c:pt>
                <c:pt idx="6">
                  <c:v>7</c:v>
                </c:pt>
                <c:pt idx="7">
                  <c:v>9</c:v>
                </c:pt>
                <c:pt idx="8">
                  <c:v>25</c:v>
                </c:pt>
              </c:numCache>
            </c:numRef>
          </c:val>
        </c:ser>
        <c:ser>
          <c:idx val="2"/>
          <c:order val="2"/>
          <c:tx>
            <c:strRef>
              <c:f>'ერთეულის მიხედვით 2-15-16'!$E$3</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'ერთეულის მიხედვით 2-15-16'!$B$4:$B$12</c:f>
              <c:strCache>
                <c:ptCount val="9"/>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strCache>
            </c:strRef>
          </c:cat>
          <c:val>
            <c:numRef>
              <c:f>'ერთეულის მიხედვით 2-15-16'!$E$4:$E$12</c:f>
              <c:numCache>
                <c:formatCode>General</c:formatCode>
                <c:ptCount val="9"/>
                <c:pt idx="0">
                  <c:v>43</c:v>
                </c:pt>
                <c:pt idx="1">
                  <c:v>11</c:v>
                </c:pt>
                <c:pt idx="2">
                  <c:v>37</c:v>
                </c:pt>
                <c:pt idx="3">
                  <c:v>23</c:v>
                </c:pt>
                <c:pt idx="4">
                  <c:v>27</c:v>
                </c:pt>
                <c:pt idx="5">
                  <c:v>57</c:v>
                </c:pt>
                <c:pt idx="6">
                  <c:v>11</c:v>
                </c:pt>
                <c:pt idx="7">
                  <c:v>2</c:v>
                </c:pt>
                <c:pt idx="8">
                  <c:v>33</c:v>
                </c:pt>
              </c:numCache>
            </c:numRef>
          </c:val>
        </c:ser>
        <c:dLbls>
          <c:showLegendKey val="0"/>
          <c:showVal val="0"/>
          <c:showCatName val="0"/>
          <c:showSerName val="0"/>
          <c:showPercent val="0"/>
          <c:showBubbleSize val="0"/>
        </c:dLbls>
        <c:gapWidth val="150"/>
        <c:axId val="329733632"/>
        <c:axId val="329735168"/>
      </c:barChart>
      <c:catAx>
        <c:axId val="329733632"/>
        <c:scaling>
          <c:orientation val="minMax"/>
        </c:scaling>
        <c:delete val="0"/>
        <c:axPos val="b"/>
        <c:majorTickMark val="out"/>
        <c:minorTickMark val="none"/>
        <c:tickLblPos val="nextTo"/>
        <c:crossAx val="329735168"/>
        <c:crosses val="autoZero"/>
        <c:auto val="1"/>
        <c:lblAlgn val="ctr"/>
        <c:lblOffset val="100"/>
        <c:noMultiLvlLbl val="0"/>
      </c:catAx>
      <c:valAx>
        <c:axId val="329735168"/>
        <c:scaling>
          <c:orientation val="minMax"/>
        </c:scaling>
        <c:delete val="0"/>
        <c:axPos val="l"/>
        <c:majorGridlines/>
        <c:numFmt formatCode="General" sourceLinked="1"/>
        <c:majorTickMark val="out"/>
        <c:minorTickMark val="none"/>
        <c:tickLblPos val="nextTo"/>
        <c:crossAx val="329733632"/>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'ერთეულის მიხედვით 2-15-16'!$D$15</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'ერთეულის მიხედვით 2-15-16'!$B$16:$C$21</c:f>
              <c:strCache>
                <c:ptCount val="6"/>
                <c:pt idx="0">
                  <c:v>მწვავე ვირუსული ჰეპატიტი</c:v>
                </c:pt>
                <c:pt idx="1">
                  <c:v>ქრონიკული ვირუსული ჰეპატიტი ციროზით (სპეც-მედიკამენტების გარეშე)</c:v>
                </c:pt>
                <c:pt idx="2">
                  <c:v>დაუზუსტებელი ცხელება-ჰიპერ პირექსია, რომელიც სხვაგვარად არ არის დაზუსტებული</c:v>
                </c:pt>
                <c:pt idx="3">
                  <c:v>სეფსისი</c:v>
                </c:pt>
                <c:pt idx="4">
                  <c:v>სეფსისი მძიმე მიმდინარეობით</c:v>
                </c:pt>
                <c:pt idx="5">
                  <c:v>პარაზიტოლოგია (სტაციონარი)</c:v>
                </c:pt>
              </c:strCache>
            </c:strRef>
          </c:cat>
          <c:val>
            <c:numRef>
              <c:f>'ერთეულის მიხედვით 2-15-16'!$D$16:$D$21</c:f>
              <c:numCache>
                <c:formatCode>General</c:formatCode>
                <c:ptCount val="6"/>
                <c:pt idx="0">
                  <c:v>125</c:v>
                </c:pt>
                <c:pt idx="1">
                  <c:v>134</c:v>
                </c:pt>
                <c:pt idx="2">
                  <c:v>121</c:v>
                </c:pt>
                <c:pt idx="3">
                  <c:v>106</c:v>
                </c:pt>
                <c:pt idx="4">
                  <c:v>116</c:v>
                </c:pt>
                <c:pt idx="5">
                  <c:v>199</c:v>
                </c:pt>
              </c:numCache>
            </c:numRef>
          </c:val>
        </c:ser>
        <c:ser>
          <c:idx val="1"/>
          <c:order val="1"/>
          <c:tx>
            <c:strRef>
              <c:f>'ერთეულის მიხედვით 2-15-16'!$E$15</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'ერთეულის მიხედვით 2-15-16'!$B$16:$C$21</c:f>
              <c:strCache>
                <c:ptCount val="6"/>
                <c:pt idx="0">
                  <c:v>მწვავე ვირუსული ჰეპატიტი</c:v>
                </c:pt>
                <c:pt idx="1">
                  <c:v>ქრონიკული ვირუსული ჰეპატიტი ციროზით (სპეც-მედიკამენტების გარეშე)</c:v>
                </c:pt>
                <c:pt idx="2">
                  <c:v>დაუზუსტებელი ცხელება-ჰიპერ პირექსია, რომელიც სხვაგვარად არ არის დაზუსტებული</c:v>
                </c:pt>
                <c:pt idx="3">
                  <c:v>სეფსისი</c:v>
                </c:pt>
                <c:pt idx="4">
                  <c:v>სეფსისი მძიმე მიმდინარეობით</c:v>
                </c:pt>
                <c:pt idx="5">
                  <c:v>პარაზიტოლოგია (სტაციონარი)</c:v>
                </c:pt>
              </c:strCache>
            </c:strRef>
          </c:cat>
          <c:val>
            <c:numRef>
              <c:f>'ერთეულის მიხედვით 2-15-16'!$E$16:$E$21</c:f>
              <c:numCache>
                <c:formatCode>General</c:formatCode>
                <c:ptCount val="6"/>
                <c:pt idx="0">
                  <c:v>138</c:v>
                </c:pt>
                <c:pt idx="1">
                  <c:v>92</c:v>
                </c:pt>
                <c:pt idx="2">
                  <c:v>159</c:v>
                </c:pt>
                <c:pt idx="3">
                  <c:v>109</c:v>
                </c:pt>
                <c:pt idx="4">
                  <c:v>153</c:v>
                </c:pt>
                <c:pt idx="5">
                  <c:v>206</c:v>
                </c:pt>
              </c:numCache>
            </c:numRef>
          </c:val>
        </c:ser>
        <c:dLbls>
          <c:showLegendKey val="0"/>
          <c:showVal val="0"/>
          <c:showCatName val="0"/>
          <c:showSerName val="0"/>
          <c:showPercent val="0"/>
          <c:showBubbleSize val="0"/>
        </c:dLbls>
        <c:gapWidth val="150"/>
        <c:axId val="329764224"/>
        <c:axId val="329774208"/>
      </c:barChart>
      <c:catAx>
        <c:axId val="329764224"/>
        <c:scaling>
          <c:orientation val="minMax"/>
        </c:scaling>
        <c:delete val="0"/>
        <c:axPos val="b"/>
        <c:majorTickMark val="out"/>
        <c:minorTickMark val="none"/>
        <c:tickLblPos val="nextTo"/>
        <c:crossAx val="329774208"/>
        <c:crosses val="autoZero"/>
        <c:auto val="1"/>
        <c:lblAlgn val="ctr"/>
        <c:lblOffset val="100"/>
        <c:noMultiLvlLbl val="0"/>
      </c:catAx>
      <c:valAx>
        <c:axId val="329774208"/>
        <c:scaling>
          <c:orientation val="minMax"/>
        </c:scaling>
        <c:delete val="0"/>
        <c:axPos val="l"/>
        <c:majorGridlines/>
        <c:numFmt formatCode="General" sourceLinked="1"/>
        <c:majorTickMark val="out"/>
        <c:minorTickMark val="none"/>
        <c:tickLblPos val="nextTo"/>
        <c:crossAx val="329764224"/>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'ერთეულის მიხედვით 3-15-16'!$D$24</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'ერთეულის მიხედვით 3-15-16'!$B$25:$C$31</c:f>
              <c:strCache>
                <c:ptCount val="7"/>
                <c:pt idx="0">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
                  <c:v>სხვა საკვებისმიერი ინტოქსიკაციები</c:v>
                </c:pt>
                <c:pt idx="2">
                  <c:v>ნაწლავთა ინფექციები მიმდინარე ჰემოკოლიტით</c:v>
                </c:pt>
                <c:pt idx="3">
                  <c:v>სხვა ნაწლავთა ინფექციები</c:v>
                </c:pt>
                <c:pt idx="4">
                  <c:v>სხვა ბაქტერიული ინფექციები</c:v>
                </c:pt>
                <c:pt idx="5">
                  <c:v>ჰერპესვირუსული ინფექციები</c:v>
                </c:pt>
                <c:pt idx="6">
                  <c:v>სხვა ვირუსული ინფექციები</c:v>
                </c:pt>
              </c:strCache>
            </c:strRef>
          </c:cat>
          <c:val>
            <c:numRef>
              <c:f>'ერთეულის მიხედვით 3-15-16'!$D$25:$D$31</c:f>
              <c:numCache>
                <c:formatCode>General</c:formatCode>
                <c:ptCount val="7"/>
                <c:pt idx="0">
                  <c:v>709</c:v>
                </c:pt>
                <c:pt idx="1">
                  <c:v>488</c:v>
                </c:pt>
                <c:pt idx="2">
                  <c:v>1124</c:v>
                </c:pt>
                <c:pt idx="3">
                  <c:v>7019</c:v>
                </c:pt>
                <c:pt idx="4">
                  <c:v>991</c:v>
                </c:pt>
                <c:pt idx="5">
                  <c:v>487</c:v>
                </c:pt>
                <c:pt idx="6">
                  <c:v>2661</c:v>
                </c:pt>
              </c:numCache>
            </c:numRef>
          </c:val>
        </c:ser>
        <c:ser>
          <c:idx val="1"/>
          <c:order val="1"/>
          <c:tx>
            <c:strRef>
              <c:f>'ერთეულის მიხედვით 3-15-16'!$E$24</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'ერთეულის მიხედვით 3-15-16'!$B$25:$C$31</c:f>
              <c:strCache>
                <c:ptCount val="7"/>
                <c:pt idx="0">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
                  <c:v>სხვა საკვებისმიერი ინტოქსიკაციები</c:v>
                </c:pt>
                <c:pt idx="2">
                  <c:v>ნაწლავთა ინფექციები მიმდინარე ჰემოკოლიტით</c:v>
                </c:pt>
                <c:pt idx="3">
                  <c:v>სხვა ნაწლავთა ინფექციები</c:v>
                </c:pt>
                <c:pt idx="4">
                  <c:v>სხვა ბაქტერიული ინფექციები</c:v>
                </c:pt>
                <c:pt idx="5">
                  <c:v>ჰერპესვირუსული ინფექციები</c:v>
                </c:pt>
                <c:pt idx="6">
                  <c:v>სხვა ვირუსული ინფექციები</c:v>
                </c:pt>
              </c:strCache>
            </c:strRef>
          </c:cat>
          <c:val>
            <c:numRef>
              <c:f>'ერთეულის მიხედვით 3-15-16'!$E$25:$E$31</c:f>
              <c:numCache>
                <c:formatCode>General</c:formatCode>
                <c:ptCount val="7"/>
                <c:pt idx="0">
                  <c:v>676</c:v>
                </c:pt>
                <c:pt idx="1">
                  <c:v>405</c:v>
                </c:pt>
                <c:pt idx="2">
                  <c:v>1429</c:v>
                </c:pt>
                <c:pt idx="3">
                  <c:v>5260</c:v>
                </c:pt>
                <c:pt idx="4">
                  <c:v>1478</c:v>
                </c:pt>
                <c:pt idx="5">
                  <c:v>821</c:v>
                </c:pt>
                <c:pt idx="6">
                  <c:v>3514</c:v>
                </c:pt>
              </c:numCache>
            </c:numRef>
          </c:val>
        </c:ser>
        <c:dLbls>
          <c:showLegendKey val="0"/>
          <c:showVal val="0"/>
          <c:showCatName val="0"/>
          <c:showSerName val="0"/>
          <c:showPercent val="0"/>
          <c:showBubbleSize val="0"/>
        </c:dLbls>
        <c:gapWidth val="150"/>
        <c:axId val="329922048"/>
        <c:axId val="329923584"/>
      </c:barChart>
      <c:catAx>
        <c:axId val="329922048"/>
        <c:scaling>
          <c:orientation val="minMax"/>
        </c:scaling>
        <c:delete val="0"/>
        <c:axPos val="b"/>
        <c:majorTickMark val="out"/>
        <c:minorTickMark val="none"/>
        <c:tickLblPos val="nextTo"/>
        <c:crossAx val="329923584"/>
        <c:crosses val="autoZero"/>
        <c:auto val="1"/>
        <c:lblAlgn val="ctr"/>
        <c:lblOffset val="100"/>
        <c:noMultiLvlLbl val="0"/>
      </c:catAx>
      <c:valAx>
        <c:axId val="329923584"/>
        <c:scaling>
          <c:orientation val="minMax"/>
        </c:scaling>
        <c:delete val="0"/>
        <c:axPos val="l"/>
        <c:majorGridlines/>
        <c:numFmt formatCode="General" sourceLinked="1"/>
        <c:majorTickMark val="out"/>
        <c:minorTickMark val="none"/>
        <c:tickLblPos val="nextTo"/>
        <c:crossAx val="329922048"/>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'დაწესებულებების ხარჯვა 15-16'!$D$3</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'დაწესებულებების ხარჯვა 15-16'!$C$4:$C$14</c:f>
              <c:strCache>
                <c:ptCount val="11"/>
                <c:pt idx="0">
                  <c:v>შპს სამედიცინო პარაზიტოლოგიისა და ტროპიკული მედიცინის კვლევის ინსტიტუტი</c:v>
                </c:pt>
                <c:pt idx="1">
                  <c:v>სს  "იავნანა"</c:v>
                </c:pt>
                <c:pt idx="2">
                  <c:v>შპს მულტიპროფილური ჰოსპიტალი - მედიქალ სიტი და ინფექციურ დაავადებათა მართვის ცენტრი</c:v>
                </c:pt>
                <c:pt idx="3">
                  <c:v>სს "რუსთავის ცენტრალური საავადმყოფო"</c:v>
                </c:pt>
                <c:pt idx="4">
                  <c:v>სს ინფექციური პათოლოგიის შიდსისა და კლინიკური იმუნოლოგიის სამეცნიერო-პრაქტიკული ცენტრი</c:v>
                </c:pt>
                <c:pt idx="5">
                  <c:v>შპს უნიმედი კახეთი (ბათუმი)</c:v>
                </c:pt>
                <c:pt idx="6">
                  <c:v>შპს აკადემიკოს ვახტანგ ბოჭორიშვილის სახელობის სეფსისის და ინფექციურ პათოლოგიათა კლინიკა</c:v>
                </c:pt>
                <c:pt idx="7">
                  <c:v>შპს „ქ. ბათუმის ინფექციური პათოლოგიის, შიდსის და ტუბერკულოზის რეგიონალური ცენტრი"</c:v>
                </c:pt>
                <c:pt idx="8">
                  <c:v>შპს "ქ.თბილისის ბავშვთა ინფექციური კლინიკური საავადმყოფო"</c:v>
                </c:pt>
                <c:pt idx="9">
                  <c:v>სს "რუსთავის ბავშვთა საავადმყოფო"</c:v>
                </c:pt>
                <c:pt idx="10">
                  <c:v>შპს გორმედი</c:v>
                </c:pt>
              </c:strCache>
            </c:strRef>
          </c:cat>
          <c:val>
            <c:numRef>
              <c:f>'დაწესებულებების ხარჯვა 15-16'!$D$4:$D$14</c:f>
              <c:numCache>
                <c:formatCode>_(* #,##0.00_);_(* \(#,##0.00\);_(* "-"??_);_(@_)</c:formatCode>
                <c:ptCount val="11"/>
                <c:pt idx="0">
                  <c:v>148293.16</c:v>
                </c:pt>
                <c:pt idx="1">
                  <c:v>125069.53</c:v>
                </c:pt>
                <c:pt idx="2">
                  <c:v>1458463.61</c:v>
                </c:pt>
                <c:pt idx="3">
                  <c:v>33854.28</c:v>
                </c:pt>
                <c:pt idx="4">
                  <c:v>1393359.83</c:v>
                </c:pt>
                <c:pt idx="5">
                  <c:v>375292.16000000003</c:v>
                </c:pt>
                <c:pt idx="6">
                  <c:v>664647.84000000008</c:v>
                </c:pt>
                <c:pt idx="7">
                  <c:v>160629.81</c:v>
                </c:pt>
                <c:pt idx="8">
                  <c:v>1307126.8799999999</c:v>
                </c:pt>
                <c:pt idx="9">
                  <c:v>111365.59</c:v>
                </c:pt>
                <c:pt idx="10">
                  <c:v>103060.83</c:v>
                </c:pt>
              </c:numCache>
            </c:numRef>
          </c:val>
        </c:ser>
        <c:ser>
          <c:idx val="1"/>
          <c:order val="1"/>
          <c:tx>
            <c:strRef>
              <c:f>'დაწესებულებების ხარჯვა 15-16'!$E$3</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'დაწესებულებების ხარჯვა 15-16'!$C$4:$C$14</c:f>
              <c:strCache>
                <c:ptCount val="11"/>
                <c:pt idx="0">
                  <c:v>შპს სამედიცინო პარაზიტოლოგიისა და ტროპიკული მედიცინის კვლევის ინსტიტუტი</c:v>
                </c:pt>
                <c:pt idx="1">
                  <c:v>სს  "იავნანა"</c:v>
                </c:pt>
                <c:pt idx="2">
                  <c:v>შპს მულტიპროფილური ჰოსპიტალი - მედიქალ სიტი და ინფექციურ დაავადებათა მართვის ცენტრი</c:v>
                </c:pt>
                <c:pt idx="3">
                  <c:v>სს "რუსთავის ცენტრალური საავადმყოფო"</c:v>
                </c:pt>
                <c:pt idx="4">
                  <c:v>სს ინფექციური პათოლოგიის შიდსისა და კლინიკური იმუნოლოგიის სამეცნიერო-პრაქტიკული ცენტრი</c:v>
                </c:pt>
                <c:pt idx="5">
                  <c:v>შპს უნიმედი კახეთი (ბათუმი)</c:v>
                </c:pt>
                <c:pt idx="6">
                  <c:v>შპს აკადემიკოს ვახტანგ ბოჭორიშვილის სახელობის სეფსისის და ინფექციურ პათოლოგიათა კლინიკა</c:v>
                </c:pt>
                <c:pt idx="7">
                  <c:v>შპს „ქ. ბათუმის ინფექციური პათოლოგიის, შიდსის და ტუბერკულოზის რეგიონალური ცენტრი"</c:v>
                </c:pt>
                <c:pt idx="8">
                  <c:v>შპს "ქ.თბილისის ბავშვთა ინფექციური კლინიკური საავადმყოფო"</c:v>
                </c:pt>
                <c:pt idx="9">
                  <c:v>სს "რუსთავის ბავშვთა საავადმყოფო"</c:v>
                </c:pt>
                <c:pt idx="10">
                  <c:v>შპს გორმედი</c:v>
                </c:pt>
              </c:strCache>
            </c:strRef>
          </c:cat>
          <c:val>
            <c:numRef>
              <c:f>'დაწესებულებების ხარჯვა 15-16'!$E$4:$E$14</c:f>
              <c:numCache>
                <c:formatCode>_(* #,##0.00_);_(* \(#,##0.00\);_(* "-"??_);_(@_)</c:formatCode>
                <c:ptCount val="11"/>
                <c:pt idx="0">
                  <c:v>155263.48000000001</c:v>
                </c:pt>
                <c:pt idx="1">
                  <c:v>255724.94</c:v>
                </c:pt>
                <c:pt idx="2">
                  <c:v>1759936.2799999998</c:v>
                </c:pt>
                <c:pt idx="3">
                  <c:v>100258.50000000001</c:v>
                </c:pt>
                <c:pt idx="4">
                  <c:v>1372302.8299999998</c:v>
                </c:pt>
                <c:pt idx="5">
                  <c:v>473024.73000000004</c:v>
                </c:pt>
                <c:pt idx="6">
                  <c:v>789899.63</c:v>
                </c:pt>
                <c:pt idx="7">
                  <c:v>134335.38</c:v>
                </c:pt>
                <c:pt idx="8">
                  <c:v>1524530.2399999998</c:v>
                </c:pt>
                <c:pt idx="9">
                  <c:v>122858.73000000001</c:v>
                </c:pt>
                <c:pt idx="10">
                  <c:v>204277.42</c:v>
                </c:pt>
              </c:numCache>
            </c:numRef>
          </c:val>
        </c:ser>
        <c:dLbls>
          <c:showLegendKey val="0"/>
          <c:showVal val="0"/>
          <c:showCatName val="0"/>
          <c:showSerName val="0"/>
          <c:showPercent val="0"/>
          <c:showBubbleSize val="0"/>
        </c:dLbls>
        <c:gapWidth val="150"/>
        <c:axId val="329940352"/>
        <c:axId val="329958528"/>
      </c:barChart>
      <c:catAx>
        <c:axId val="329940352"/>
        <c:scaling>
          <c:orientation val="minMax"/>
        </c:scaling>
        <c:delete val="0"/>
        <c:axPos val="b"/>
        <c:majorTickMark val="out"/>
        <c:minorTickMark val="none"/>
        <c:tickLblPos val="nextTo"/>
        <c:crossAx val="329958528"/>
        <c:crosses val="autoZero"/>
        <c:auto val="1"/>
        <c:lblAlgn val="ctr"/>
        <c:lblOffset val="100"/>
        <c:noMultiLvlLbl val="0"/>
      </c:catAx>
      <c:valAx>
        <c:axId val="329958528"/>
        <c:scaling>
          <c:orientation val="minMax"/>
        </c:scaling>
        <c:delete val="0"/>
        <c:axPos val="l"/>
        <c:majorGridlines/>
        <c:numFmt formatCode="_(* #,##0.00_);_(* \(#,##0.00\);_(* &quot;-&quot;??_);_(@_)" sourceLinked="1"/>
        <c:majorTickMark val="out"/>
        <c:minorTickMark val="none"/>
        <c:tickLblPos val="nextTo"/>
        <c:crossAx val="329940352"/>
        <c:crosses val="autoZero"/>
        <c:crossBetween val="between"/>
      </c:val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'მაღალი ფაქტობრივ'!$B$3</c:f>
              <c:strCache>
                <c:ptCount val="1"/>
                <c:pt idx="0">
                  <c:v>ერთეულის ფასი</c:v>
                </c:pt>
              </c:strCache>
            </c:strRef>
          </c:tx>
          <c:invertIfNegative val="0"/>
          <c:cat>
            <c:strRef>
              <c:f>'მაღალი ფაქტობრივ'!$A$4:$A$24</c:f>
              <c:strCache>
                <c:ptCount val="14"/>
                <c:pt idx="0">
                  <c:v>ბაქტერიული მენინგოენცეფალიტი</c:v>
                </c:pt>
                <c:pt idx="1">
                  <c:v>ვირუსული მენინგოენცეფალიტი</c:v>
                </c:pt>
                <c:pt idx="2">
                  <c:v>ანთებითი პოლინეიროპათიები</c:v>
                </c:pt>
                <c:pt idx="3">
                  <c:v>ბოტულიზმი</c:v>
                </c:pt>
                <c:pt idx="4">
                  <c:v>სეფსისი-ქირურგიული მკურნალობა</c:v>
                </c:pt>
                <c:pt idx="5">
                  <c:v>დაუზუსტებელი ცხელება-ჰიპერ პირექსია, რომელიც სხვაგვარად არ არის დაზუსტებული</c:v>
                </c:pt>
                <c:pt idx="6">
                  <c:v>პარაზიტოლოგია (სტაციონარი)</c:v>
                </c:pt>
                <c:pt idx="7">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8">
                  <c:v>სხვა საკვებისმიერი ინტოქსიკაციები</c:v>
                </c:pt>
                <c:pt idx="9">
                  <c:v>ნაწლავთა ინფექციები მიმდინარე ჰემოკოლიტით</c:v>
                </c:pt>
                <c:pt idx="10">
                  <c:v>სხვა ნაწლავთა ინფექციები</c:v>
                </c:pt>
                <c:pt idx="11">
                  <c:v>სხვა ბაქტერიული ინფექციები</c:v>
                </c:pt>
                <c:pt idx="12">
                  <c:v>ჰერპესვირუსული ინფექციები</c:v>
                </c:pt>
                <c:pt idx="13">
                  <c:v>სხვა ვირუსული ინფექციები</c:v>
                </c:pt>
              </c:strCache>
            </c:strRef>
          </c:cat>
          <c:val>
            <c:numRef>
              <c:f>'მაღალი ფაქტობრივ'!$B$4:$B$24</c:f>
            </c:numRef>
          </c:val>
        </c:ser>
        <c:ser>
          <c:idx val="1"/>
          <c:order val="1"/>
          <c:tx>
            <c:strRef>
              <c:f>'მაღალი ფაქტობრივ'!$C$3</c:f>
              <c:strCache>
                <c:ptCount val="1"/>
                <c:pt idx="0">
                  <c:v>2015</c:v>
                </c:pt>
              </c:strCache>
            </c:strRef>
          </c:tx>
          <c:spPr>
            <a:solidFill>
              <a:schemeClr val="tx1">
                <a:lumMod val="50000"/>
                <a:lumOff val="50000"/>
              </a:schemeClr>
            </a:solidFill>
            <a:scene3d>
              <a:camera prst="orthographicFront"/>
              <a:lightRig rig="threePt" dir="t"/>
            </a:scene3d>
            <a:sp3d>
              <a:bevelT/>
            </a:sp3d>
          </c:spPr>
          <c:invertIfNegative val="0"/>
          <c:cat>
            <c:strRef>
              <c:f>'მაღალი ფაქტობრივ'!$A$4:$A$24</c:f>
              <c:strCache>
                <c:ptCount val="14"/>
                <c:pt idx="0">
                  <c:v>ბაქტერიული მენინგოენცეფალიტი</c:v>
                </c:pt>
                <c:pt idx="1">
                  <c:v>ვირუსული მენინგოენცეფალიტი</c:v>
                </c:pt>
                <c:pt idx="2">
                  <c:v>ანთებითი პოლინეიროპათიები</c:v>
                </c:pt>
                <c:pt idx="3">
                  <c:v>ბოტულიზმი</c:v>
                </c:pt>
                <c:pt idx="4">
                  <c:v>სეფსისი-ქირურგიული მკურნალობა</c:v>
                </c:pt>
                <c:pt idx="5">
                  <c:v>დაუზუსტებელი ცხელება-ჰიპერ პირექსია, რომელიც სხვაგვარად არ არის დაზუსტებული</c:v>
                </c:pt>
                <c:pt idx="6">
                  <c:v>პარაზიტოლოგია (სტაციონარი)</c:v>
                </c:pt>
                <c:pt idx="7">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8">
                  <c:v>სხვა საკვებისმიერი ინტოქსიკაციები</c:v>
                </c:pt>
                <c:pt idx="9">
                  <c:v>ნაწლავთა ინფექციები მიმდინარე ჰემოკოლიტით</c:v>
                </c:pt>
                <c:pt idx="10">
                  <c:v>სხვა ნაწლავთა ინფექციები</c:v>
                </c:pt>
                <c:pt idx="11">
                  <c:v>სხვა ბაქტერიული ინფექციები</c:v>
                </c:pt>
                <c:pt idx="12">
                  <c:v>ჰერპესვირუსული ინფექციები</c:v>
                </c:pt>
                <c:pt idx="13">
                  <c:v>სხვა ვირუსული ინფექციები</c:v>
                </c:pt>
              </c:strCache>
            </c:strRef>
          </c:cat>
          <c:val>
            <c:numRef>
              <c:f>'მაღალი ფაქტობრივ'!$C$4:$C$24</c:f>
              <c:numCache>
                <c:formatCode>General</c:formatCode>
                <c:ptCount val="14"/>
                <c:pt idx="0">
                  <c:v>972</c:v>
                </c:pt>
                <c:pt idx="1">
                  <c:v>839</c:v>
                </c:pt>
                <c:pt idx="2">
                  <c:v>1658</c:v>
                </c:pt>
                <c:pt idx="3">
                  <c:v>624</c:v>
                </c:pt>
                <c:pt idx="4">
                  <c:v>2351</c:v>
                </c:pt>
                <c:pt idx="5">
                  <c:v>727</c:v>
                </c:pt>
                <c:pt idx="6">
                  <c:v>769</c:v>
                </c:pt>
                <c:pt idx="7">
                  <c:v>1660</c:v>
                </c:pt>
                <c:pt idx="8">
                  <c:v>179</c:v>
                </c:pt>
                <c:pt idx="9">
                  <c:v>469</c:v>
                </c:pt>
                <c:pt idx="10">
                  <c:v>272</c:v>
                </c:pt>
                <c:pt idx="11">
                  <c:v>534</c:v>
                </c:pt>
                <c:pt idx="12">
                  <c:v>591</c:v>
                </c:pt>
                <c:pt idx="13">
                  <c:v>316</c:v>
                </c:pt>
              </c:numCache>
            </c:numRef>
          </c:val>
        </c:ser>
        <c:ser>
          <c:idx val="2"/>
          <c:order val="2"/>
          <c:tx>
            <c:strRef>
              <c:f>'მაღალი ფაქტობრივ'!$D$3</c:f>
              <c:strCache>
                <c:ptCount val="1"/>
                <c:pt idx="0">
                  <c:v>2016</c:v>
                </c:pt>
              </c:strCache>
            </c:strRef>
          </c:tx>
          <c:spPr>
            <a:solidFill>
              <a:srgbClr val="C00000"/>
            </a:solidFill>
            <a:scene3d>
              <a:camera prst="orthographicFront"/>
              <a:lightRig rig="threePt" dir="t"/>
            </a:scene3d>
            <a:sp3d>
              <a:bevelT/>
            </a:sp3d>
          </c:spPr>
          <c:invertIfNegative val="0"/>
          <c:cat>
            <c:strRef>
              <c:f>'მაღალი ფაქტობრივ'!$A$4:$A$24</c:f>
              <c:strCache>
                <c:ptCount val="14"/>
                <c:pt idx="0">
                  <c:v>ბაქტერიული მენინგოენცეფალიტი</c:v>
                </c:pt>
                <c:pt idx="1">
                  <c:v>ვირუსული მენინგოენცეფალიტი</c:v>
                </c:pt>
                <c:pt idx="2">
                  <c:v>ანთებითი პოლინეიროპათიები</c:v>
                </c:pt>
                <c:pt idx="3">
                  <c:v>ბოტულიზმი</c:v>
                </c:pt>
                <c:pt idx="4">
                  <c:v>სეფსისი-ქირურგიული მკურნალობა</c:v>
                </c:pt>
                <c:pt idx="5">
                  <c:v>დაუზუსტებელი ცხელება-ჰიპერ პირექსია, რომელიც სხვაგვარად არ არის დაზუსტებული</c:v>
                </c:pt>
                <c:pt idx="6">
                  <c:v>პარაზიტოლოგია (სტაციონარი)</c:v>
                </c:pt>
                <c:pt idx="7">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8">
                  <c:v>სხვა საკვებისმიერი ინტოქსიკაციები</c:v>
                </c:pt>
                <c:pt idx="9">
                  <c:v>ნაწლავთა ინფექციები მიმდინარე ჰემოკოლიტით</c:v>
                </c:pt>
                <c:pt idx="10">
                  <c:v>სხვა ნაწლავთა ინფექციები</c:v>
                </c:pt>
                <c:pt idx="11">
                  <c:v>სხვა ბაქტერიული ინფექციები</c:v>
                </c:pt>
                <c:pt idx="12">
                  <c:v>ჰერპესვირუსული ინფექციები</c:v>
                </c:pt>
                <c:pt idx="13">
                  <c:v>სხვა ვირუსული ინფექციები</c:v>
                </c:pt>
              </c:strCache>
            </c:strRef>
          </c:cat>
          <c:val>
            <c:numRef>
              <c:f>'მაღალი ფაქტობრივ'!$D$4:$D$24</c:f>
              <c:numCache>
                <c:formatCode>General</c:formatCode>
                <c:ptCount val="14"/>
                <c:pt idx="0">
                  <c:v>2136</c:v>
                </c:pt>
                <c:pt idx="1">
                  <c:v>1435</c:v>
                </c:pt>
                <c:pt idx="2">
                  <c:v>3093</c:v>
                </c:pt>
                <c:pt idx="3">
                  <c:v>734</c:v>
                </c:pt>
                <c:pt idx="4">
                  <c:v>2796</c:v>
                </c:pt>
                <c:pt idx="5">
                  <c:v>832</c:v>
                </c:pt>
                <c:pt idx="6">
                  <c:v>804</c:v>
                </c:pt>
                <c:pt idx="7">
                  <c:v>1846</c:v>
                </c:pt>
                <c:pt idx="8">
                  <c:v>198</c:v>
                </c:pt>
                <c:pt idx="9">
                  <c:v>524</c:v>
                </c:pt>
                <c:pt idx="10">
                  <c:v>280</c:v>
                </c:pt>
                <c:pt idx="11">
                  <c:v>670</c:v>
                </c:pt>
                <c:pt idx="12">
                  <c:v>611</c:v>
                </c:pt>
                <c:pt idx="13">
                  <c:v>380</c:v>
                </c:pt>
              </c:numCache>
            </c:numRef>
          </c:val>
        </c:ser>
        <c:dLbls>
          <c:showLegendKey val="0"/>
          <c:showVal val="0"/>
          <c:showCatName val="0"/>
          <c:showSerName val="0"/>
          <c:showPercent val="0"/>
          <c:showBubbleSize val="0"/>
        </c:dLbls>
        <c:gapWidth val="150"/>
        <c:axId val="329992448"/>
        <c:axId val="329994240"/>
      </c:barChart>
      <c:catAx>
        <c:axId val="329992448"/>
        <c:scaling>
          <c:orientation val="minMax"/>
        </c:scaling>
        <c:delete val="0"/>
        <c:axPos val="b"/>
        <c:majorTickMark val="out"/>
        <c:minorTickMark val="none"/>
        <c:tickLblPos val="nextTo"/>
        <c:crossAx val="329994240"/>
        <c:crosses val="autoZero"/>
        <c:auto val="1"/>
        <c:lblAlgn val="ctr"/>
        <c:lblOffset val="100"/>
        <c:noMultiLvlLbl val="0"/>
      </c:catAx>
      <c:valAx>
        <c:axId val="329994240"/>
        <c:scaling>
          <c:orientation val="minMax"/>
        </c:scaling>
        <c:delete val="0"/>
        <c:axPos val="l"/>
        <c:majorGridlines/>
        <c:numFmt formatCode="General" sourceLinked="1"/>
        <c:majorTickMark val="out"/>
        <c:minorTickMark val="none"/>
        <c:tickLblPos val="nextTo"/>
        <c:crossAx val="329992448"/>
        <c:crosses val="autoZero"/>
        <c:crossBetween val="between"/>
      </c:valAx>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chemeClr val="accent5">
                    <a:lumMod val="50000"/>
                  </a:schemeClr>
                </a:solidFill>
              </a:defRPr>
            </a:pPr>
            <a:r>
              <a:rPr lang="ka-GE">
                <a:solidFill>
                  <a:schemeClr val="accent5">
                    <a:lumMod val="50000"/>
                  </a:schemeClr>
                </a:solidFill>
              </a:rPr>
              <a:t>2015 და 2016 ფაქტობრივი</a:t>
            </a:r>
            <a:r>
              <a:rPr lang="ka-GE" baseline="0">
                <a:solidFill>
                  <a:schemeClr val="accent5">
                    <a:lumMod val="50000"/>
                  </a:schemeClr>
                </a:solidFill>
              </a:rPr>
              <a:t> ხარჯვის მაჩვენებლების შედარება ტარიფებთან</a:t>
            </a:r>
            <a:endParaRPr lang="en-US">
              <a:solidFill>
                <a:schemeClr val="accent5">
                  <a:lumMod val="50000"/>
                </a:schemeClr>
              </a:solidFill>
            </a:endParaRPr>
          </a:p>
        </c:rich>
      </c:tx>
      <c:overlay val="0"/>
    </c:title>
    <c:autoTitleDeleted val="0"/>
    <c:plotArea>
      <c:layout/>
      <c:barChart>
        <c:barDir val="col"/>
        <c:grouping val="clustered"/>
        <c:varyColors val="0"/>
        <c:ser>
          <c:idx val="0"/>
          <c:order val="0"/>
          <c:tx>
            <c:strRef>
              <c:f>'მაღალი ფაქტობრივ'!$B$3</c:f>
              <c:strCache>
                <c:ptCount val="1"/>
                <c:pt idx="0">
                  <c:v>ერთეულის ფასი</c:v>
                </c:pt>
              </c:strCache>
            </c:strRef>
          </c:tx>
          <c:invertIfNegative val="0"/>
          <c:cat>
            <c:strRef>
              <c:f>'მაღალი ფაქტობრივ'!$A$4:$A$24</c:f>
              <c:strCache>
                <c:ptCount val="21"/>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pt idx="9">
                  <c:v>მწვავე ვირუსული ჰეპატიტი</c:v>
                </c:pt>
                <c:pt idx="10">
                  <c:v>ქრონიკული ვირუსული ჰეპატიტი ციროზით (სპეც-მედიკამენტების გარეშე)</c:v>
                </c:pt>
                <c:pt idx="11">
                  <c:v>დაუზუსტებელი ცხელება-ჰიპერ პირექსია, რომელიც სხვაგვარად არ არის დაზუსტებული</c:v>
                </c:pt>
                <c:pt idx="12">
                  <c:v>სეფსისი</c:v>
                </c:pt>
                <c:pt idx="13">
                  <c:v>პარაზიტოლოგია (სტაციონარი)</c:v>
                </c:pt>
                <c:pt idx="14">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5">
                  <c:v>სხვა საკვებისმიერი ინტოქსიკაციები</c:v>
                </c:pt>
                <c:pt idx="16">
                  <c:v>ნაწლავთა ინფექციები მიმდინარე ჰემოკოლიტით</c:v>
                </c:pt>
                <c:pt idx="17">
                  <c:v>სხვა ნაწლავთა ინფექციები</c:v>
                </c:pt>
                <c:pt idx="18">
                  <c:v>სხვა ბაქტერიული ინფექციები</c:v>
                </c:pt>
                <c:pt idx="19">
                  <c:v>ჰერპესვირუსული ინფექციები</c:v>
                </c:pt>
                <c:pt idx="20">
                  <c:v>სხვა ვირუსული ინფექციები</c:v>
                </c:pt>
              </c:strCache>
            </c:strRef>
          </c:cat>
          <c:val>
            <c:numRef>
              <c:f>'მაღალი ფაქტობრივ'!$B$4:$B$24</c:f>
            </c:numRef>
          </c:val>
        </c:ser>
        <c:ser>
          <c:idx val="1"/>
          <c:order val="1"/>
          <c:tx>
            <c:strRef>
              <c:f>'მაღალი ფაქტობრივ'!$C$3</c:f>
              <c:strCache>
                <c:ptCount val="1"/>
                <c:pt idx="0">
                  <c:v>2015 ფაქტობრივი</c:v>
                </c:pt>
              </c:strCache>
            </c:strRef>
          </c:tx>
          <c:spPr>
            <a:solidFill>
              <a:schemeClr val="accent5">
                <a:lumMod val="50000"/>
              </a:schemeClr>
            </a:solidFill>
            <a:scene3d>
              <a:camera prst="orthographicFront"/>
              <a:lightRig rig="threePt" dir="t"/>
            </a:scene3d>
            <a:sp3d>
              <a:bevelT prst="convex"/>
            </a:sp3d>
          </c:spPr>
          <c:invertIfNegative val="0"/>
          <c:cat>
            <c:strRef>
              <c:f>'მაღალი ფაქტობრივ'!$A$4:$A$24</c:f>
              <c:strCache>
                <c:ptCount val="21"/>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pt idx="9">
                  <c:v>მწვავე ვირუსული ჰეპატიტი</c:v>
                </c:pt>
                <c:pt idx="10">
                  <c:v>ქრონიკული ვირუსული ჰეპატიტი ციროზით (სპეც-მედიკამენტების გარეშე)</c:v>
                </c:pt>
                <c:pt idx="11">
                  <c:v>დაუზუსტებელი ცხელება-ჰიპერ პირექსია, რომელიც სხვაგვარად არ არის დაზუსტებული</c:v>
                </c:pt>
                <c:pt idx="12">
                  <c:v>სეფსისი</c:v>
                </c:pt>
                <c:pt idx="13">
                  <c:v>პარაზიტოლოგია (სტაციონარი)</c:v>
                </c:pt>
                <c:pt idx="14">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5">
                  <c:v>სხვა საკვებისმიერი ინტოქსიკაციები</c:v>
                </c:pt>
                <c:pt idx="16">
                  <c:v>ნაწლავთა ინფექციები მიმდინარე ჰემოკოლიტით</c:v>
                </c:pt>
                <c:pt idx="17">
                  <c:v>სხვა ნაწლავთა ინფექციები</c:v>
                </c:pt>
                <c:pt idx="18">
                  <c:v>სხვა ბაქტერიული ინფექციები</c:v>
                </c:pt>
                <c:pt idx="19">
                  <c:v>ჰერპესვირუსული ინფექციები</c:v>
                </c:pt>
                <c:pt idx="20">
                  <c:v>სხვა ვირუსული ინფექციები</c:v>
                </c:pt>
              </c:strCache>
            </c:strRef>
          </c:cat>
          <c:val>
            <c:numRef>
              <c:f>'მაღალი ფაქტობრივ'!$C$4:$C$24</c:f>
              <c:numCache>
                <c:formatCode>General</c:formatCode>
                <c:ptCount val="21"/>
                <c:pt idx="0">
                  <c:v>1558</c:v>
                </c:pt>
                <c:pt idx="1">
                  <c:v>972</c:v>
                </c:pt>
                <c:pt idx="2">
                  <c:v>607</c:v>
                </c:pt>
                <c:pt idx="3">
                  <c:v>839</c:v>
                </c:pt>
                <c:pt idx="4">
                  <c:v>1658</c:v>
                </c:pt>
                <c:pt idx="5">
                  <c:v>645</c:v>
                </c:pt>
                <c:pt idx="6">
                  <c:v>624</c:v>
                </c:pt>
                <c:pt idx="7">
                  <c:v>710</c:v>
                </c:pt>
                <c:pt idx="8">
                  <c:v>2351</c:v>
                </c:pt>
                <c:pt idx="9">
                  <c:v>991</c:v>
                </c:pt>
                <c:pt idx="10">
                  <c:v>923</c:v>
                </c:pt>
                <c:pt idx="11">
                  <c:v>727</c:v>
                </c:pt>
                <c:pt idx="12">
                  <c:v>1975</c:v>
                </c:pt>
                <c:pt idx="13">
                  <c:v>769</c:v>
                </c:pt>
                <c:pt idx="14">
                  <c:v>1660</c:v>
                </c:pt>
                <c:pt idx="15">
                  <c:v>179</c:v>
                </c:pt>
                <c:pt idx="16">
                  <c:v>469</c:v>
                </c:pt>
                <c:pt idx="17">
                  <c:v>272</c:v>
                </c:pt>
                <c:pt idx="18">
                  <c:v>534</c:v>
                </c:pt>
                <c:pt idx="19">
                  <c:v>591</c:v>
                </c:pt>
                <c:pt idx="20">
                  <c:v>316</c:v>
                </c:pt>
              </c:numCache>
            </c:numRef>
          </c:val>
        </c:ser>
        <c:ser>
          <c:idx val="2"/>
          <c:order val="2"/>
          <c:tx>
            <c:strRef>
              <c:f>'მაღალი ფაქტობრივ'!$D$3</c:f>
              <c:strCache>
                <c:ptCount val="1"/>
                <c:pt idx="0">
                  <c:v>2016 ფაქტობრივი</c:v>
                </c:pt>
              </c:strCache>
            </c:strRef>
          </c:tx>
          <c:spPr>
            <a:solidFill>
              <a:srgbClr val="FFFF00"/>
            </a:solidFill>
            <a:scene3d>
              <a:camera prst="orthographicFront"/>
              <a:lightRig rig="threePt" dir="t"/>
            </a:scene3d>
            <a:sp3d>
              <a:bevelT prst="convex"/>
            </a:sp3d>
          </c:spPr>
          <c:invertIfNegative val="0"/>
          <c:cat>
            <c:strRef>
              <c:f>'მაღალი ფაქტობრივ'!$A$4:$A$24</c:f>
              <c:strCache>
                <c:ptCount val="21"/>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pt idx="9">
                  <c:v>მწვავე ვირუსული ჰეპატიტი</c:v>
                </c:pt>
                <c:pt idx="10">
                  <c:v>ქრონიკული ვირუსული ჰეპატიტი ციროზით (სპეც-მედიკამენტების გარეშე)</c:v>
                </c:pt>
                <c:pt idx="11">
                  <c:v>დაუზუსტებელი ცხელება-ჰიპერ პირექსია, რომელიც სხვაგვარად არ არის დაზუსტებული</c:v>
                </c:pt>
                <c:pt idx="12">
                  <c:v>სეფსისი</c:v>
                </c:pt>
                <c:pt idx="13">
                  <c:v>პარაზიტოლოგია (სტაციონარი)</c:v>
                </c:pt>
                <c:pt idx="14">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5">
                  <c:v>სხვა საკვებისმიერი ინტოქსიკაციები</c:v>
                </c:pt>
                <c:pt idx="16">
                  <c:v>ნაწლავთა ინფექციები მიმდინარე ჰემოკოლიტით</c:v>
                </c:pt>
                <c:pt idx="17">
                  <c:v>სხვა ნაწლავთა ინფექციები</c:v>
                </c:pt>
                <c:pt idx="18">
                  <c:v>სხვა ბაქტერიული ინფექციები</c:v>
                </c:pt>
                <c:pt idx="19">
                  <c:v>ჰერპესვირუსული ინფექციები</c:v>
                </c:pt>
                <c:pt idx="20">
                  <c:v>სხვა ვირუსული ინფექციები</c:v>
                </c:pt>
              </c:strCache>
            </c:strRef>
          </c:cat>
          <c:val>
            <c:numRef>
              <c:f>'მაღალი ფაქტობრივ'!$D$4:$D$24</c:f>
              <c:numCache>
                <c:formatCode>General</c:formatCode>
                <c:ptCount val="21"/>
                <c:pt idx="0">
                  <c:v>1538</c:v>
                </c:pt>
                <c:pt idx="1">
                  <c:v>2136</c:v>
                </c:pt>
                <c:pt idx="2">
                  <c:v>473</c:v>
                </c:pt>
                <c:pt idx="3">
                  <c:v>1435</c:v>
                </c:pt>
                <c:pt idx="4">
                  <c:v>3093</c:v>
                </c:pt>
                <c:pt idx="5">
                  <c:v>645</c:v>
                </c:pt>
                <c:pt idx="6">
                  <c:v>734</c:v>
                </c:pt>
                <c:pt idx="7">
                  <c:v>657</c:v>
                </c:pt>
                <c:pt idx="8">
                  <c:v>2796</c:v>
                </c:pt>
                <c:pt idx="9">
                  <c:v>905</c:v>
                </c:pt>
                <c:pt idx="10">
                  <c:v>853</c:v>
                </c:pt>
                <c:pt idx="11">
                  <c:v>832</c:v>
                </c:pt>
                <c:pt idx="12">
                  <c:v>1891</c:v>
                </c:pt>
                <c:pt idx="13">
                  <c:v>804</c:v>
                </c:pt>
                <c:pt idx="14">
                  <c:v>1846</c:v>
                </c:pt>
                <c:pt idx="15">
                  <c:v>198</c:v>
                </c:pt>
                <c:pt idx="16">
                  <c:v>524</c:v>
                </c:pt>
                <c:pt idx="17">
                  <c:v>280</c:v>
                </c:pt>
                <c:pt idx="18">
                  <c:v>670</c:v>
                </c:pt>
                <c:pt idx="19">
                  <c:v>611</c:v>
                </c:pt>
                <c:pt idx="20">
                  <c:v>380</c:v>
                </c:pt>
              </c:numCache>
            </c:numRef>
          </c:val>
        </c:ser>
        <c:ser>
          <c:idx val="3"/>
          <c:order val="3"/>
          <c:tx>
            <c:strRef>
              <c:f>'მაღალი ფაქტობრივ'!$E$3</c:f>
              <c:strCache>
                <c:ptCount val="1"/>
                <c:pt idx="0">
                  <c:v>ტარიფი (საშუალო)</c:v>
                </c:pt>
              </c:strCache>
            </c:strRef>
          </c:tx>
          <c:invertIfNegative val="0"/>
          <c:cat>
            <c:strRef>
              <c:f>'მაღალი ფაქტობრივ'!$A$4:$A$24</c:f>
              <c:strCache>
                <c:ptCount val="21"/>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pt idx="9">
                  <c:v>მწვავე ვირუსული ჰეპატიტი</c:v>
                </c:pt>
                <c:pt idx="10">
                  <c:v>ქრონიკული ვირუსული ჰეპატიტი ციროზით (სპეც-მედიკამენტების გარეშე)</c:v>
                </c:pt>
                <c:pt idx="11">
                  <c:v>დაუზუსტებელი ცხელება-ჰიპერ პირექსია, რომელიც სხვაგვარად არ არის დაზუსტებული</c:v>
                </c:pt>
                <c:pt idx="12">
                  <c:v>სეფსისი</c:v>
                </c:pt>
                <c:pt idx="13">
                  <c:v>პარაზიტოლოგია (სტაციონარი)</c:v>
                </c:pt>
                <c:pt idx="14">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5">
                  <c:v>სხვა საკვებისმიერი ინტოქსიკაციები</c:v>
                </c:pt>
                <c:pt idx="16">
                  <c:v>ნაწლავთა ინფექციები მიმდინარე ჰემოკოლიტით</c:v>
                </c:pt>
                <c:pt idx="17">
                  <c:v>სხვა ნაწლავთა ინფექციები</c:v>
                </c:pt>
                <c:pt idx="18">
                  <c:v>სხვა ბაქტერიული ინფექციები</c:v>
                </c:pt>
                <c:pt idx="19">
                  <c:v>ჰერპესვირუსული ინფექციები</c:v>
                </c:pt>
                <c:pt idx="20">
                  <c:v>სხვა ვირუსული ინფექციები</c:v>
                </c:pt>
              </c:strCache>
            </c:strRef>
          </c:cat>
          <c:val>
            <c:numRef>
              <c:f>'მაღალი ფაქტობრივ'!$E$4:$E$24</c:f>
            </c:numRef>
          </c:val>
        </c:ser>
        <c:ser>
          <c:idx val="4"/>
          <c:order val="4"/>
          <c:tx>
            <c:strRef>
              <c:f>'მაღალი ფაქტობრივ'!$F$3</c:f>
              <c:strCache>
                <c:ptCount val="1"/>
                <c:pt idx="0">
                  <c:v>ტარიფი</c:v>
                </c:pt>
              </c:strCache>
            </c:strRef>
          </c:tx>
          <c:spPr>
            <a:solidFill>
              <a:srgbClr val="C00000"/>
            </a:solidFill>
            <a:scene3d>
              <a:camera prst="orthographicFront"/>
              <a:lightRig rig="threePt" dir="t"/>
            </a:scene3d>
            <a:sp3d>
              <a:bevelT prst="convex"/>
            </a:sp3d>
          </c:spPr>
          <c:invertIfNegative val="0"/>
          <c:cat>
            <c:strRef>
              <c:f>'მაღალი ფაქტობრივ'!$A$4:$A$24</c:f>
              <c:strCache>
                <c:ptCount val="21"/>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pt idx="9">
                  <c:v>მწვავე ვირუსული ჰეპატიტი</c:v>
                </c:pt>
                <c:pt idx="10">
                  <c:v>ქრონიკული ვირუსული ჰეპატიტი ციროზით (სპეც-მედიკამენტების გარეშე)</c:v>
                </c:pt>
                <c:pt idx="11">
                  <c:v>დაუზუსტებელი ცხელება-ჰიპერ პირექსია, რომელიც სხვაგვარად არ არის დაზუსტებული</c:v>
                </c:pt>
                <c:pt idx="12">
                  <c:v>სეფსისი</c:v>
                </c:pt>
                <c:pt idx="13">
                  <c:v>პარაზიტოლოგია (სტაციონარი)</c:v>
                </c:pt>
                <c:pt idx="14">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5">
                  <c:v>სხვა საკვებისმიერი ინტოქსიკაციები</c:v>
                </c:pt>
                <c:pt idx="16">
                  <c:v>ნაწლავთა ინფექციები მიმდინარე ჰემოკოლიტით</c:v>
                </c:pt>
                <c:pt idx="17">
                  <c:v>სხვა ნაწლავთა ინფექციები</c:v>
                </c:pt>
                <c:pt idx="18">
                  <c:v>სხვა ბაქტერიული ინფექციები</c:v>
                </c:pt>
                <c:pt idx="19">
                  <c:v>ჰერპესვირუსული ინფექციები</c:v>
                </c:pt>
                <c:pt idx="20">
                  <c:v>სხვა ვირუსული ინფექციები</c:v>
                </c:pt>
              </c:strCache>
            </c:strRef>
          </c:cat>
          <c:val>
            <c:numRef>
              <c:f>'მაღალი ფაქტობრივ'!$F$4:$F$24</c:f>
              <c:numCache>
                <c:formatCode>General</c:formatCode>
                <c:ptCount val="21"/>
                <c:pt idx="0">
                  <c:v>2300</c:v>
                </c:pt>
                <c:pt idx="1">
                  <c:v>3200</c:v>
                </c:pt>
                <c:pt idx="2">
                  <c:v>750</c:v>
                </c:pt>
                <c:pt idx="3">
                  <c:v>3000</c:v>
                </c:pt>
                <c:pt idx="4">
                  <c:v>3800</c:v>
                </c:pt>
                <c:pt idx="5">
                  <c:v>850</c:v>
                </c:pt>
                <c:pt idx="6">
                  <c:v>1400</c:v>
                </c:pt>
                <c:pt idx="7">
                  <c:v>1400</c:v>
                </c:pt>
                <c:pt idx="8">
                  <c:v>3025</c:v>
                </c:pt>
                <c:pt idx="9">
                  <c:v>1500</c:v>
                </c:pt>
                <c:pt idx="10">
                  <c:v>1200</c:v>
                </c:pt>
                <c:pt idx="11">
                  <c:v>1200</c:v>
                </c:pt>
                <c:pt idx="12">
                  <c:v>2150</c:v>
                </c:pt>
                <c:pt idx="13">
                  <c:v>1200</c:v>
                </c:pt>
                <c:pt idx="14">
                  <c:v>3000</c:v>
                </c:pt>
                <c:pt idx="15">
                  <c:v>250</c:v>
                </c:pt>
                <c:pt idx="16">
                  <c:v>800</c:v>
                </c:pt>
                <c:pt idx="17">
                  <c:v>380</c:v>
                </c:pt>
                <c:pt idx="18">
                  <c:v>880</c:v>
                </c:pt>
                <c:pt idx="19">
                  <c:v>1100</c:v>
                </c:pt>
                <c:pt idx="20">
                  <c:v>550</c:v>
                </c:pt>
              </c:numCache>
            </c:numRef>
          </c:val>
        </c:ser>
        <c:dLbls>
          <c:showLegendKey val="0"/>
          <c:showVal val="0"/>
          <c:showCatName val="0"/>
          <c:showSerName val="0"/>
          <c:showPercent val="0"/>
          <c:showBubbleSize val="0"/>
        </c:dLbls>
        <c:gapWidth val="150"/>
        <c:axId val="334184448"/>
        <c:axId val="334185984"/>
      </c:barChart>
      <c:catAx>
        <c:axId val="334184448"/>
        <c:scaling>
          <c:orientation val="minMax"/>
        </c:scaling>
        <c:delete val="0"/>
        <c:axPos val="b"/>
        <c:majorTickMark val="none"/>
        <c:minorTickMark val="none"/>
        <c:tickLblPos val="nextTo"/>
        <c:crossAx val="334185984"/>
        <c:crosses val="autoZero"/>
        <c:auto val="1"/>
        <c:lblAlgn val="ctr"/>
        <c:lblOffset val="100"/>
        <c:noMultiLvlLbl val="0"/>
      </c:catAx>
      <c:valAx>
        <c:axId val="334185984"/>
        <c:scaling>
          <c:orientation val="minMax"/>
        </c:scaling>
        <c:delete val="0"/>
        <c:axPos val="l"/>
        <c:majorGridlines/>
        <c:numFmt formatCode="General" sourceLinked="1"/>
        <c:majorTickMark val="none"/>
        <c:minorTickMark val="none"/>
        <c:tickLblPos val="nextTo"/>
        <c:crossAx val="334184448"/>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'მაღალი ფაქტობრივ'!$C$29</c:f>
              <c:strCache>
                <c:ptCount val="1"/>
                <c:pt idx="0">
                  <c:v>2015</c:v>
                </c:pt>
              </c:strCache>
            </c:strRef>
          </c:tx>
          <c:spPr>
            <a:solidFill>
              <a:schemeClr val="accent1">
                <a:lumMod val="50000"/>
              </a:schemeClr>
            </a:solidFill>
            <a:scene3d>
              <a:camera prst="orthographicFront"/>
              <a:lightRig rig="threePt" dir="t"/>
            </a:scene3d>
            <a:sp3d>
              <a:bevelT prst="relaxedInset"/>
            </a:sp3d>
          </c:spPr>
          <c:invertIfNegative val="0"/>
          <c:cat>
            <c:strRef>
              <c:f>'მაღალი ფაქტობრივ'!$A$30:$B$34</c:f>
              <c:strCache>
                <c:ptCount val="5"/>
                <c:pt idx="0">
                  <c:v>ბაქტერიული მენინგოენცეფალიტი</c:v>
                </c:pt>
                <c:pt idx="1">
                  <c:v>ვირუსული მენინგოენცეფალიტი</c:v>
                </c:pt>
                <c:pt idx="2">
                  <c:v>ანთებითი პოლინეიროპათიები</c:v>
                </c:pt>
                <c:pt idx="3">
                  <c:v>ბოტულიზმი</c:v>
                </c:pt>
                <c:pt idx="4">
                  <c:v>სეფსისი-ქირურგიული მკურნალობა</c:v>
                </c:pt>
              </c:strCache>
            </c:strRef>
          </c:cat>
          <c:val>
            <c:numRef>
              <c:f>'მაღალი ფაქტობრივ'!$C$30:$C$34</c:f>
              <c:numCache>
                <c:formatCode>General</c:formatCode>
                <c:ptCount val="5"/>
                <c:pt idx="0">
                  <c:v>16</c:v>
                </c:pt>
                <c:pt idx="1">
                  <c:v>19</c:v>
                </c:pt>
                <c:pt idx="2">
                  <c:v>7</c:v>
                </c:pt>
                <c:pt idx="3">
                  <c:v>7</c:v>
                </c:pt>
                <c:pt idx="4">
                  <c:v>25</c:v>
                </c:pt>
              </c:numCache>
            </c:numRef>
          </c:val>
        </c:ser>
        <c:ser>
          <c:idx val="1"/>
          <c:order val="1"/>
          <c:tx>
            <c:strRef>
              <c:f>'მაღალი ფაქტობრივ'!$D$29</c:f>
              <c:strCache>
                <c:ptCount val="1"/>
                <c:pt idx="0">
                  <c:v>2016</c:v>
                </c:pt>
              </c:strCache>
            </c:strRef>
          </c:tx>
          <c:spPr>
            <a:scene3d>
              <a:camera prst="orthographicFront"/>
              <a:lightRig rig="threePt" dir="t"/>
            </a:scene3d>
            <a:sp3d>
              <a:bevelT w="114300" prst="artDeco"/>
            </a:sp3d>
          </c:spPr>
          <c:invertIfNegative val="0"/>
          <c:cat>
            <c:strRef>
              <c:f>'მაღალი ფაქტობრივ'!$A$30:$B$34</c:f>
              <c:strCache>
                <c:ptCount val="5"/>
                <c:pt idx="0">
                  <c:v>ბაქტერიული მენინგოენცეფალიტი</c:v>
                </c:pt>
                <c:pt idx="1">
                  <c:v>ვირუსული მენინგოენცეფალიტი</c:v>
                </c:pt>
                <c:pt idx="2">
                  <c:v>ანთებითი პოლინეიროპათიები</c:v>
                </c:pt>
                <c:pt idx="3">
                  <c:v>ბოტულიზმი</c:v>
                </c:pt>
                <c:pt idx="4">
                  <c:v>სეფსისი-ქირურგიული მკურნალობა</c:v>
                </c:pt>
              </c:strCache>
            </c:strRef>
          </c:cat>
          <c:val>
            <c:numRef>
              <c:f>'მაღალი ფაქტობრივ'!$D$30:$D$34</c:f>
              <c:numCache>
                <c:formatCode>General</c:formatCode>
                <c:ptCount val="5"/>
                <c:pt idx="0">
                  <c:v>11</c:v>
                </c:pt>
                <c:pt idx="1">
                  <c:v>23</c:v>
                </c:pt>
                <c:pt idx="2">
                  <c:v>27</c:v>
                </c:pt>
                <c:pt idx="3">
                  <c:v>11</c:v>
                </c:pt>
                <c:pt idx="4">
                  <c:v>33</c:v>
                </c:pt>
              </c:numCache>
            </c:numRef>
          </c:val>
        </c:ser>
        <c:dLbls>
          <c:showLegendKey val="0"/>
          <c:showVal val="0"/>
          <c:showCatName val="0"/>
          <c:showSerName val="0"/>
          <c:showPercent val="0"/>
          <c:showBubbleSize val="0"/>
        </c:dLbls>
        <c:gapWidth val="150"/>
        <c:axId val="334210176"/>
        <c:axId val="334211712"/>
      </c:barChart>
      <c:catAx>
        <c:axId val="334210176"/>
        <c:scaling>
          <c:orientation val="minMax"/>
        </c:scaling>
        <c:delete val="0"/>
        <c:axPos val="b"/>
        <c:majorTickMark val="out"/>
        <c:minorTickMark val="none"/>
        <c:tickLblPos val="nextTo"/>
        <c:crossAx val="334211712"/>
        <c:crosses val="autoZero"/>
        <c:auto val="1"/>
        <c:lblAlgn val="ctr"/>
        <c:lblOffset val="100"/>
        <c:noMultiLvlLbl val="0"/>
      </c:catAx>
      <c:valAx>
        <c:axId val="334211712"/>
        <c:scaling>
          <c:orientation val="minMax"/>
        </c:scaling>
        <c:delete val="0"/>
        <c:axPos val="l"/>
        <c:majorGridlines/>
        <c:numFmt formatCode="General" sourceLinked="1"/>
        <c:majorTickMark val="out"/>
        <c:minorTickMark val="none"/>
        <c:tickLblPos val="nextTo"/>
        <c:crossAx val="334210176"/>
        <c:crosses val="autoZero"/>
        <c:crossBetween val="between"/>
      </c:valAx>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'მაღალი ფაქტობრივ'!$C$35</c:f>
              <c:strCache>
                <c:ptCount val="1"/>
                <c:pt idx="0">
                  <c:v>2015</c:v>
                </c:pt>
              </c:strCache>
            </c:strRef>
          </c:tx>
          <c:spPr>
            <a:solidFill>
              <a:schemeClr val="accent1">
                <a:lumMod val="50000"/>
              </a:schemeClr>
            </a:solidFill>
            <a:scene3d>
              <a:camera prst="orthographicFront"/>
              <a:lightRig rig="threePt" dir="t"/>
            </a:scene3d>
            <a:sp3d>
              <a:bevelT prst="convex"/>
            </a:sp3d>
          </c:spPr>
          <c:invertIfNegative val="0"/>
          <c:cat>
            <c:strRef>
              <c:f>'მაღალი ფაქტობრივ'!$A$36:$B$44</c:f>
              <c:strCache>
                <c:ptCount val="9"/>
                <c:pt idx="0">
                  <c:v>დაუზუსტებელი ცხელება-ჰიპერ პირექსია, რომელიც სხვაგვარად არ არის დაზუსტებული</c:v>
                </c:pt>
                <c:pt idx="1">
                  <c:v>პარაზიტოლოგია (სტაციონარი)</c:v>
                </c:pt>
                <c:pt idx="2">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3">
                  <c:v>სხვა საკვებისმიერი ინტოქსიკაციები</c:v>
                </c:pt>
                <c:pt idx="4">
                  <c:v>ნაწლავთა ინფექციები მიმდინარე ჰემოკოლიტით</c:v>
                </c:pt>
                <c:pt idx="5">
                  <c:v>სხვა ნაწლავთა ინფექციები</c:v>
                </c:pt>
                <c:pt idx="6">
                  <c:v>სხვა ბაქტერიული ინფექციები</c:v>
                </c:pt>
                <c:pt idx="7">
                  <c:v>ჰერპესვირუსული ინფექციები</c:v>
                </c:pt>
                <c:pt idx="8">
                  <c:v>სხვა ვირუსული ინფექციები</c:v>
                </c:pt>
              </c:strCache>
            </c:strRef>
          </c:cat>
          <c:val>
            <c:numRef>
              <c:f>'მაღალი ფაქტობრივ'!$C$36:$C$44</c:f>
              <c:numCache>
                <c:formatCode>General</c:formatCode>
                <c:ptCount val="9"/>
                <c:pt idx="0">
                  <c:v>121</c:v>
                </c:pt>
                <c:pt idx="1">
                  <c:v>199</c:v>
                </c:pt>
                <c:pt idx="2">
                  <c:v>709</c:v>
                </c:pt>
                <c:pt idx="3">
                  <c:v>488</c:v>
                </c:pt>
                <c:pt idx="4">
                  <c:v>1124</c:v>
                </c:pt>
                <c:pt idx="5">
                  <c:v>7019</c:v>
                </c:pt>
                <c:pt idx="6">
                  <c:v>991</c:v>
                </c:pt>
                <c:pt idx="7">
                  <c:v>487</c:v>
                </c:pt>
                <c:pt idx="8">
                  <c:v>2661</c:v>
                </c:pt>
              </c:numCache>
            </c:numRef>
          </c:val>
        </c:ser>
        <c:ser>
          <c:idx val="1"/>
          <c:order val="1"/>
          <c:tx>
            <c:strRef>
              <c:f>'მაღალი ფაქტობრივ'!$D$35</c:f>
              <c:strCache>
                <c:ptCount val="1"/>
                <c:pt idx="0">
                  <c:v>2016</c:v>
                </c:pt>
              </c:strCache>
            </c:strRef>
          </c:tx>
          <c:spPr>
            <a:solidFill>
              <a:srgbClr val="C00000"/>
            </a:solidFill>
            <a:scene3d>
              <a:camera prst="orthographicFront"/>
              <a:lightRig rig="threePt" dir="t"/>
            </a:scene3d>
            <a:sp3d>
              <a:bevelT prst="convex"/>
            </a:sp3d>
          </c:spPr>
          <c:invertIfNegative val="0"/>
          <c:cat>
            <c:strRef>
              <c:f>'მაღალი ფაქტობრივ'!$A$36:$B$44</c:f>
              <c:strCache>
                <c:ptCount val="9"/>
                <c:pt idx="0">
                  <c:v>დაუზუსტებელი ცხელება-ჰიპერ პირექსია, რომელიც სხვაგვარად არ არის დაზუსტებული</c:v>
                </c:pt>
                <c:pt idx="1">
                  <c:v>პარაზიტოლოგია (სტაციონარი)</c:v>
                </c:pt>
                <c:pt idx="2">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3">
                  <c:v>სხვა საკვებისმიერი ინტოქსიკაციები</c:v>
                </c:pt>
                <c:pt idx="4">
                  <c:v>ნაწლავთა ინფექციები მიმდინარე ჰემოკოლიტით</c:v>
                </c:pt>
                <c:pt idx="5">
                  <c:v>სხვა ნაწლავთა ინფექციები</c:v>
                </c:pt>
                <c:pt idx="6">
                  <c:v>სხვა ბაქტერიული ინფექციები</c:v>
                </c:pt>
                <c:pt idx="7">
                  <c:v>ჰერპესვირუსული ინფექციები</c:v>
                </c:pt>
                <c:pt idx="8">
                  <c:v>სხვა ვირუსული ინფექციები</c:v>
                </c:pt>
              </c:strCache>
            </c:strRef>
          </c:cat>
          <c:val>
            <c:numRef>
              <c:f>'მაღალი ფაქტობრივ'!$D$36:$D$44</c:f>
              <c:numCache>
                <c:formatCode>General</c:formatCode>
                <c:ptCount val="9"/>
                <c:pt idx="0">
                  <c:v>159</c:v>
                </c:pt>
                <c:pt idx="1">
                  <c:v>206</c:v>
                </c:pt>
                <c:pt idx="2">
                  <c:v>676</c:v>
                </c:pt>
                <c:pt idx="3">
                  <c:v>405</c:v>
                </c:pt>
                <c:pt idx="4">
                  <c:v>1429</c:v>
                </c:pt>
                <c:pt idx="5">
                  <c:v>5260</c:v>
                </c:pt>
                <c:pt idx="6">
                  <c:v>1478</c:v>
                </c:pt>
                <c:pt idx="7">
                  <c:v>821</c:v>
                </c:pt>
                <c:pt idx="8">
                  <c:v>3514</c:v>
                </c:pt>
              </c:numCache>
            </c:numRef>
          </c:val>
        </c:ser>
        <c:dLbls>
          <c:showLegendKey val="0"/>
          <c:showVal val="0"/>
          <c:showCatName val="0"/>
          <c:showSerName val="0"/>
          <c:showPercent val="0"/>
          <c:showBubbleSize val="0"/>
        </c:dLbls>
        <c:gapWidth val="150"/>
        <c:axId val="334232576"/>
        <c:axId val="334238464"/>
      </c:barChart>
      <c:catAx>
        <c:axId val="334232576"/>
        <c:scaling>
          <c:orientation val="minMax"/>
        </c:scaling>
        <c:delete val="0"/>
        <c:axPos val="b"/>
        <c:majorTickMark val="out"/>
        <c:minorTickMark val="none"/>
        <c:tickLblPos val="nextTo"/>
        <c:crossAx val="334238464"/>
        <c:crosses val="autoZero"/>
        <c:auto val="1"/>
        <c:lblAlgn val="ctr"/>
        <c:lblOffset val="100"/>
        <c:noMultiLvlLbl val="0"/>
      </c:catAx>
      <c:valAx>
        <c:axId val="334238464"/>
        <c:scaling>
          <c:orientation val="minMax"/>
        </c:scaling>
        <c:delete val="0"/>
        <c:axPos val="l"/>
        <c:majorGridlines/>
        <c:numFmt formatCode="General" sourceLinked="1"/>
        <c:majorTickMark val="out"/>
        <c:minorTickMark val="none"/>
        <c:tickLblPos val="nextTo"/>
        <c:crossAx val="3342325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'აგვისტოს შედარება'!$C$5</c:f>
              <c:strCache>
                <c:ptCount val="1"/>
                <c:pt idx="0">
                  <c:v>საშუალო შემთხვევა თვეში</c:v>
                </c:pt>
              </c:strCache>
            </c:strRef>
          </c:tx>
          <c:spPr>
            <a:solidFill>
              <a:schemeClr val="bg2">
                <a:lumMod val="50000"/>
              </a:schemeClr>
            </a:solidFill>
            <a:scene3d>
              <a:camera prst="orthographicFront"/>
              <a:lightRig rig="threePt" dir="t"/>
            </a:scene3d>
            <a:sp3d>
              <a:bevelT w="152400" h="50800" prst="softRound"/>
            </a:sp3d>
          </c:spPr>
          <c:invertIfNegative val="0"/>
          <c:cat>
            <c:strRef>
              <c:f>'აგვისტოს შედარება'!$B$6:$B$13</c:f>
              <c:strCache>
                <c:ptCount val="8"/>
                <c:pt idx="0">
                  <c:v>სხვა ნაწლავთა ინფექციები – 20% თანაგადახდით</c:v>
                </c:pt>
                <c:pt idx="1">
                  <c:v>სხვა ნაწლავთა ინფექციები - თანაგადახდის გარეშე,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c:v>
                </c:pt>
                <c:pt idx="2">
                  <c:v>სხვა ნაწლავთა ინფექციები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c:v>
                </c:pt>
                <c:pt idx="3">
                  <c:v>ნაწლავთა ინფექციები  მიმდინარე ჰემოკოლიტით – 20% თანაგადახდით</c:v>
                </c:pt>
                <c:pt idx="4">
                  <c:v>ნაწლავთა ინფექციები  მიმდინარე ჰემოკოლიტით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c:v>
                </c:pt>
                <c:pt idx="5">
                  <c:v>მწვავე ვირუსული ჰეპატიტი – 20% თანაგადახდით</c:v>
                </c:pt>
                <c:pt idx="6">
                  <c:v>დაუზუსტებელი ცხელება-ჰიპერპირექსია, რომელიც სხვაგვარად არ არის დაზუსტებული – 20% თანაგადახდით</c:v>
                </c:pt>
                <c:pt idx="7">
                  <c:v>სხვა საკვებისმიერი ინტოქსიკაციები –  20% თანაგადახდით</c:v>
                </c:pt>
              </c:strCache>
            </c:strRef>
          </c:cat>
          <c:val>
            <c:numRef>
              <c:f>'აგვისტოს შედარება'!$C$6:$C$13</c:f>
              <c:numCache>
                <c:formatCode>General</c:formatCode>
                <c:ptCount val="8"/>
                <c:pt idx="0">
                  <c:v>104</c:v>
                </c:pt>
                <c:pt idx="1">
                  <c:v>86</c:v>
                </c:pt>
                <c:pt idx="2">
                  <c:v>260</c:v>
                </c:pt>
                <c:pt idx="3">
                  <c:v>22</c:v>
                </c:pt>
                <c:pt idx="4">
                  <c:v>90</c:v>
                </c:pt>
                <c:pt idx="5">
                  <c:v>10</c:v>
                </c:pt>
                <c:pt idx="6">
                  <c:v>10</c:v>
                </c:pt>
                <c:pt idx="7">
                  <c:v>12</c:v>
                </c:pt>
              </c:numCache>
            </c:numRef>
          </c:val>
        </c:ser>
        <c:ser>
          <c:idx val="1"/>
          <c:order val="1"/>
          <c:tx>
            <c:strRef>
              <c:f>'აგვისტოს შედარება'!$D$5</c:f>
              <c:strCache>
                <c:ptCount val="1"/>
                <c:pt idx="0">
                  <c:v>ივლისის შემთხვევა</c:v>
                </c:pt>
              </c:strCache>
            </c:strRef>
          </c:tx>
          <c:spPr>
            <a:solidFill>
              <a:schemeClr val="accent5">
                <a:lumMod val="75000"/>
              </a:schemeClr>
            </a:solidFill>
            <a:scene3d>
              <a:camera prst="orthographicFront"/>
              <a:lightRig rig="threePt" dir="t"/>
            </a:scene3d>
            <a:sp3d>
              <a:bevelT w="152400" h="50800" prst="softRound"/>
            </a:sp3d>
          </c:spPr>
          <c:invertIfNegative val="0"/>
          <c:cat>
            <c:strRef>
              <c:f>'აგვისტოს შედარება'!$B$6:$B$13</c:f>
              <c:strCache>
                <c:ptCount val="8"/>
                <c:pt idx="0">
                  <c:v>სხვა ნაწლავთა ინფექციები – 20% თანაგადახდით</c:v>
                </c:pt>
                <c:pt idx="1">
                  <c:v>სხვა ნაწლავთა ინფექციები - თანაგადახდის გარეშე,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c:v>
                </c:pt>
                <c:pt idx="2">
                  <c:v>სხვა ნაწლავთა ინფექციები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c:v>
                </c:pt>
                <c:pt idx="3">
                  <c:v>ნაწლავთა ინფექციები  მიმდინარე ჰემოკოლიტით – 20% თანაგადახდით</c:v>
                </c:pt>
                <c:pt idx="4">
                  <c:v>ნაწლავთა ინფექციები  მიმდინარე ჰემოკოლიტით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c:v>
                </c:pt>
                <c:pt idx="5">
                  <c:v>მწვავე ვირუსული ჰეპატიტი – 20% თანაგადახდით</c:v>
                </c:pt>
                <c:pt idx="6">
                  <c:v>დაუზუსტებელი ცხელება-ჰიპერპირექსია, რომელიც სხვაგვარად არ არის დაზუსტებული – 20% თანაგადახდით</c:v>
                </c:pt>
                <c:pt idx="7">
                  <c:v>სხვა საკვებისმიერი ინტოქსიკაციები –  20% თანაგადახდით</c:v>
                </c:pt>
              </c:strCache>
            </c:strRef>
          </c:cat>
          <c:val>
            <c:numRef>
              <c:f>'აგვისტოს შედარება'!$D$6:$D$13</c:f>
              <c:numCache>
                <c:formatCode>General</c:formatCode>
                <c:ptCount val="8"/>
                <c:pt idx="0">
                  <c:v>204</c:v>
                </c:pt>
                <c:pt idx="1">
                  <c:v>133</c:v>
                </c:pt>
                <c:pt idx="2">
                  <c:v>410</c:v>
                </c:pt>
                <c:pt idx="3">
                  <c:v>42</c:v>
                </c:pt>
                <c:pt idx="4">
                  <c:v>99</c:v>
                </c:pt>
                <c:pt idx="5">
                  <c:v>18</c:v>
                </c:pt>
                <c:pt idx="6">
                  <c:v>13</c:v>
                </c:pt>
                <c:pt idx="7">
                  <c:v>23</c:v>
                </c:pt>
              </c:numCache>
            </c:numRef>
          </c:val>
        </c:ser>
        <c:ser>
          <c:idx val="2"/>
          <c:order val="2"/>
          <c:tx>
            <c:strRef>
              <c:f>'აგვისტოს შედარება'!$E$5</c:f>
              <c:strCache>
                <c:ptCount val="1"/>
                <c:pt idx="0">
                  <c:v>აგვისტოს შემთხვევა</c:v>
                </c:pt>
              </c:strCache>
            </c:strRef>
          </c:tx>
          <c:spPr>
            <a:solidFill>
              <a:srgbClr val="C00000"/>
            </a:solidFill>
            <a:scene3d>
              <a:camera prst="orthographicFront"/>
              <a:lightRig rig="threePt" dir="t"/>
            </a:scene3d>
            <a:sp3d>
              <a:bevelT w="152400" h="50800" prst="softRound"/>
            </a:sp3d>
          </c:spPr>
          <c:invertIfNegative val="0"/>
          <c:cat>
            <c:strRef>
              <c:f>'აგვისტოს შედარება'!$B$6:$B$13</c:f>
              <c:strCache>
                <c:ptCount val="8"/>
                <c:pt idx="0">
                  <c:v>სხვა ნაწლავთა ინფექციები – 20% თანაგადახდით</c:v>
                </c:pt>
                <c:pt idx="1">
                  <c:v>სხვა ნაწლავთა ინფექციები - თანაგადახდის გარეშე,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c:v>
                </c:pt>
                <c:pt idx="2">
                  <c:v>სხვა ნაწლავთა ინფექციები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c:v>
                </c:pt>
                <c:pt idx="3">
                  <c:v>ნაწლავთა ინფექციები  მიმდინარე ჰემოკოლიტით – 20% თანაგადახდით</c:v>
                </c:pt>
                <c:pt idx="4">
                  <c:v>ნაწლავთა ინფექციები  მიმდინარე ჰემოკოლიტით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c:v>
                </c:pt>
                <c:pt idx="5">
                  <c:v>მწვავე ვირუსული ჰეპატიტი – 20% თანაგადახდით</c:v>
                </c:pt>
                <c:pt idx="6">
                  <c:v>დაუზუსტებელი ცხელება-ჰიპერპირექსია, რომელიც სხვაგვარად არ არის დაზუსტებული – 20% თანაგადახდით</c:v>
                </c:pt>
                <c:pt idx="7">
                  <c:v>სხვა საკვებისმიერი ინტოქსიკაციები –  20% თანაგადახდით</c:v>
                </c:pt>
              </c:strCache>
            </c:strRef>
          </c:cat>
          <c:val>
            <c:numRef>
              <c:f>'აგვისტოს შედარება'!$E$6:$E$13</c:f>
              <c:numCache>
                <c:formatCode>General</c:formatCode>
                <c:ptCount val="8"/>
                <c:pt idx="0">
                  <c:v>328</c:v>
                </c:pt>
                <c:pt idx="1">
                  <c:v>214</c:v>
                </c:pt>
                <c:pt idx="2">
                  <c:v>579</c:v>
                </c:pt>
                <c:pt idx="3">
                  <c:v>75</c:v>
                </c:pt>
                <c:pt idx="4">
                  <c:v>182</c:v>
                </c:pt>
                <c:pt idx="5">
                  <c:v>23</c:v>
                </c:pt>
                <c:pt idx="6">
                  <c:v>18</c:v>
                </c:pt>
                <c:pt idx="7">
                  <c:v>22</c:v>
                </c:pt>
              </c:numCache>
            </c:numRef>
          </c:val>
        </c:ser>
        <c:dLbls>
          <c:showLegendKey val="0"/>
          <c:showVal val="0"/>
          <c:showCatName val="0"/>
          <c:showSerName val="0"/>
          <c:showPercent val="0"/>
          <c:showBubbleSize val="0"/>
        </c:dLbls>
        <c:gapWidth val="150"/>
        <c:axId val="336143488"/>
        <c:axId val="336145024"/>
      </c:barChart>
      <c:catAx>
        <c:axId val="336143488"/>
        <c:scaling>
          <c:orientation val="minMax"/>
        </c:scaling>
        <c:delete val="0"/>
        <c:axPos val="b"/>
        <c:majorTickMark val="out"/>
        <c:minorTickMark val="none"/>
        <c:tickLblPos val="nextTo"/>
        <c:crossAx val="336145024"/>
        <c:crosses val="autoZero"/>
        <c:auto val="1"/>
        <c:lblAlgn val="ctr"/>
        <c:lblOffset val="100"/>
        <c:noMultiLvlLbl val="0"/>
      </c:catAx>
      <c:valAx>
        <c:axId val="336145024"/>
        <c:scaling>
          <c:orientation val="minMax"/>
        </c:scaling>
        <c:delete val="0"/>
        <c:axPos val="l"/>
        <c:majorGridlines/>
        <c:numFmt formatCode="General" sourceLinked="1"/>
        <c:majorTickMark val="out"/>
        <c:minorTickMark val="none"/>
        <c:tickLblPos val="nextTo"/>
        <c:crossAx val="3361434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solidFill>
                  <a:schemeClr val="accent5">
                    <a:lumMod val="50000"/>
                  </a:schemeClr>
                </a:solidFill>
              </a:defRPr>
            </a:pPr>
            <a:r>
              <a:rPr lang="ka-GE" b="1">
                <a:solidFill>
                  <a:schemeClr val="accent5">
                    <a:lumMod val="50000"/>
                  </a:schemeClr>
                </a:solidFill>
              </a:rPr>
              <a:t>სავარაუდო ინფექციური წარმოშობის დიარეა</a:t>
            </a:r>
            <a:endParaRPr lang="en-US" b="1">
              <a:solidFill>
                <a:schemeClr val="accent5">
                  <a:lumMod val="50000"/>
                </a:schemeClr>
              </a:solidFill>
            </a:endParaRPr>
          </a:p>
        </c:rich>
      </c:tx>
      <c:overlay val="0"/>
    </c:title>
    <c:autoTitleDeleted val="0"/>
    <c:plotArea>
      <c:layout/>
      <c:barChart>
        <c:barDir val="col"/>
        <c:grouping val="clustered"/>
        <c:varyColors val="0"/>
        <c:ser>
          <c:idx val="0"/>
          <c:order val="0"/>
          <c:tx>
            <c:strRef>
              <c:f>ინფექც1!$B$5</c:f>
              <c:strCache>
                <c:ptCount val="1"/>
                <c:pt idx="0">
                  <c:v>0-15 წლამდე</c:v>
                </c:pt>
              </c:strCache>
            </c:strRef>
          </c:tx>
          <c:spPr>
            <a:solidFill>
              <a:schemeClr val="tx2">
                <a:lumMod val="60000"/>
                <a:lumOff val="40000"/>
              </a:schemeClr>
            </a:solidFill>
            <a:scene3d>
              <a:camera prst="orthographicFront"/>
              <a:lightRig rig="threePt" dir="t"/>
            </a:scene3d>
            <a:sp3d>
              <a:bevelT prst="convex"/>
            </a:sp3d>
          </c:spPr>
          <c:invertIfNegative val="0"/>
          <c:cat>
            <c:strRef>
              <c:f>ინფექც1!$C$4:$E$4</c:f>
              <c:strCache>
                <c:ptCount val="3"/>
                <c:pt idx="0">
                  <c:v>2014 (6 თვე)</c:v>
                </c:pt>
                <c:pt idx="1">
                  <c:v>2015 (6 თვე)</c:v>
                </c:pt>
                <c:pt idx="2">
                  <c:v>2016 (6 თვე)</c:v>
                </c:pt>
              </c:strCache>
            </c:strRef>
          </c:cat>
          <c:val>
            <c:numRef>
              <c:f>ინფექც1!$C$5:$E$5</c:f>
              <c:numCache>
                <c:formatCode>General</c:formatCode>
                <c:ptCount val="3"/>
                <c:pt idx="0">
                  <c:v>5990</c:v>
                </c:pt>
                <c:pt idx="1">
                  <c:v>4800</c:v>
                </c:pt>
                <c:pt idx="2">
                  <c:v>6200</c:v>
                </c:pt>
              </c:numCache>
            </c:numRef>
          </c:val>
        </c:ser>
        <c:ser>
          <c:idx val="1"/>
          <c:order val="1"/>
          <c:tx>
            <c:strRef>
              <c:f>ინფექც1!$B$6</c:f>
              <c:strCache>
                <c:ptCount val="1"/>
                <c:pt idx="0">
                  <c:v>15 წელს ზემოთ</c:v>
                </c:pt>
              </c:strCache>
            </c:strRef>
          </c:tx>
          <c:spPr>
            <a:solidFill>
              <a:schemeClr val="accent2">
                <a:lumMod val="60000"/>
                <a:lumOff val="40000"/>
              </a:schemeClr>
            </a:solidFill>
            <a:scene3d>
              <a:camera prst="orthographicFront"/>
              <a:lightRig rig="threePt" dir="t"/>
            </a:scene3d>
            <a:sp3d>
              <a:bevelT prst="convex"/>
            </a:sp3d>
          </c:spPr>
          <c:invertIfNegative val="0"/>
          <c:cat>
            <c:strRef>
              <c:f>ინფექც1!$C$4:$E$4</c:f>
              <c:strCache>
                <c:ptCount val="3"/>
                <c:pt idx="0">
                  <c:v>2014 (6 თვე)</c:v>
                </c:pt>
                <c:pt idx="1">
                  <c:v>2015 (6 თვე)</c:v>
                </c:pt>
                <c:pt idx="2">
                  <c:v>2016 (6 თვე)</c:v>
                </c:pt>
              </c:strCache>
            </c:strRef>
          </c:cat>
          <c:val>
            <c:numRef>
              <c:f>ინფექც1!$C$6:$E$6</c:f>
              <c:numCache>
                <c:formatCode>General</c:formatCode>
                <c:ptCount val="3"/>
                <c:pt idx="0">
                  <c:v>3984</c:v>
                </c:pt>
                <c:pt idx="1">
                  <c:v>3176</c:v>
                </c:pt>
                <c:pt idx="2">
                  <c:v>4062</c:v>
                </c:pt>
              </c:numCache>
            </c:numRef>
          </c:val>
        </c:ser>
        <c:dLbls>
          <c:showLegendKey val="0"/>
          <c:showVal val="0"/>
          <c:showCatName val="0"/>
          <c:showSerName val="0"/>
          <c:showPercent val="0"/>
          <c:showBubbleSize val="0"/>
        </c:dLbls>
        <c:gapWidth val="150"/>
        <c:axId val="336169984"/>
        <c:axId val="336212736"/>
      </c:barChart>
      <c:catAx>
        <c:axId val="336169984"/>
        <c:scaling>
          <c:orientation val="minMax"/>
        </c:scaling>
        <c:delete val="0"/>
        <c:axPos val="b"/>
        <c:majorTickMark val="none"/>
        <c:minorTickMark val="none"/>
        <c:tickLblPos val="nextTo"/>
        <c:crossAx val="336212736"/>
        <c:crosses val="autoZero"/>
        <c:auto val="1"/>
        <c:lblAlgn val="ctr"/>
        <c:lblOffset val="100"/>
        <c:noMultiLvlLbl val="0"/>
      </c:catAx>
      <c:valAx>
        <c:axId val="336212736"/>
        <c:scaling>
          <c:orientation val="minMax"/>
        </c:scaling>
        <c:delete val="0"/>
        <c:axPos val="l"/>
        <c:majorGridlines/>
        <c:numFmt formatCode="General" sourceLinked="1"/>
        <c:majorTickMark val="none"/>
        <c:minorTickMark val="none"/>
        <c:tickLblPos val="nextTo"/>
        <c:crossAx val="33616998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ინფექც2!$C$6</c:f>
              <c:strCache>
                <c:ptCount val="1"/>
                <c:pt idx="0">
                  <c:v>სავარაუდო საკვებისმიერი მოშხამვები</c:v>
                </c:pt>
              </c:strCache>
            </c:strRef>
          </c:tx>
          <c:spPr>
            <a:solidFill>
              <a:srgbClr val="C00000"/>
            </a:solidFill>
            <a:scene3d>
              <a:camera prst="orthographicFront"/>
              <a:lightRig rig="threePt" dir="t"/>
            </a:scene3d>
            <a:sp3d>
              <a:bevelT w="114300" prst="artDeco"/>
            </a:sp3d>
          </c:spPr>
          <c:invertIfNegative val="0"/>
          <c:cat>
            <c:strRef>
              <c:f>ინფექც2!$D$5:$F$5</c:f>
              <c:strCache>
                <c:ptCount val="3"/>
                <c:pt idx="0">
                  <c:v>2014 (6 თვე)</c:v>
                </c:pt>
                <c:pt idx="1">
                  <c:v>2015 (6 თვე)</c:v>
                </c:pt>
                <c:pt idx="2">
                  <c:v>2016 (6 თვე)</c:v>
                </c:pt>
              </c:strCache>
            </c:strRef>
          </c:cat>
          <c:val>
            <c:numRef>
              <c:f>ინფექც2!$D$6:$F$6</c:f>
              <c:numCache>
                <c:formatCode>General</c:formatCode>
                <c:ptCount val="3"/>
                <c:pt idx="0">
                  <c:v>8206</c:v>
                </c:pt>
                <c:pt idx="1">
                  <c:v>11056</c:v>
                </c:pt>
                <c:pt idx="2">
                  <c:v>14354</c:v>
                </c:pt>
              </c:numCache>
            </c:numRef>
          </c:val>
        </c:ser>
        <c:dLbls>
          <c:showLegendKey val="0"/>
          <c:showVal val="0"/>
          <c:showCatName val="0"/>
          <c:showSerName val="0"/>
          <c:showPercent val="0"/>
          <c:showBubbleSize val="0"/>
        </c:dLbls>
        <c:gapWidth val="150"/>
        <c:axId val="336261888"/>
        <c:axId val="336263424"/>
      </c:barChart>
      <c:catAx>
        <c:axId val="336261888"/>
        <c:scaling>
          <c:orientation val="minMax"/>
        </c:scaling>
        <c:delete val="0"/>
        <c:axPos val="b"/>
        <c:majorTickMark val="out"/>
        <c:minorTickMark val="none"/>
        <c:tickLblPos val="nextTo"/>
        <c:crossAx val="336263424"/>
        <c:crosses val="autoZero"/>
        <c:auto val="1"/>
        <c:lblAlgn val="ctr"/>
        <c:lblOffset val="100"/>
        <c:noMultiLvlLbl val="0"/>
      </c:catAx>
      <c:valAx>
        <c:axId val="336263424"/>
        <c:scaling>
          <c:orientation val="minMax"/>
        </c:scaling>
        <c:delete val="0"/>
        <c:axPos val="l"/>
        <c:majorGridlines/>
        <c:numFmt formatCode="General" sourceLinked="1"/>
        <c:majorTickMark val="out"/>
        <c:minorTickMark val="none"/>
        <c:tickLblPos val="nextTo"/>
        <c:crossAx val="33626188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b="1" i="0" baseline="0">
                <a:effectLst/>
              </a:rPr>
              <a:t>შემთხვევათა რაოდენობა  რეგიონის მიხედვით</a:t>
            </a:r>
            <a:endParaRPr lang="en-US" sz="1000">
              <a:effectLst/>
            </a:endParaRPr>
          </a:p>
          <a:p>
            <a:pPr>
              <a:defRPr sz="1000"/>
            </a:pPr>
            <a:r>
              <a:rPr lang="ka-GE" sz="1000" b="1" i="0" baseline="0">
                <a:effectLst/>
              </a:rPr>
              <a:t>2016 წლის 9 თვე (აგვისტოს ჩათვლით)</a:t>
            </a:r>
            <a:endParaRPr lang="en-US" sz="1000">
              <a:effectLst/>
            </a:endParaRPr>
          </a:p>
        </c:rich>
      </c:tx>
      <c:layout>
        <c:manualLayout>
          <c:xMode val="edge"/>
          <c:yMode val="edge"/>
          <c:x val="0.24612617570272738"/>
          <c:y val="2.1152349791048006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'რეგიონის მიხედვით შემტხვევები'!$B$6:$B$13</c:f>
              <c:strCache>
                <c:ptCount val="8"/>
                <c:pt idx="0">
                  <c:v>აჭარა</c:v>
                </c:pt>
                <c:pt idx="1">
                  <c:v>ახალციხე</c:v>
                </c:pt>
                <c:pt idx="2">
                  <c:v>გურია</c:v>
                </c:pt>
                <c:pt idx="3">
                  <c:v>თბილისი</c:v>
                </c:pt>
                <c:pt idx="4">
                  <c:v>იმერეთი</c:v>
                </c:pt>
                <c:pt idx="5">
                  <c:v>სამეგრელო</c:v>
                </c:pt>
                <c:pt idx="6">
                  <c:v>ქვემო ქართლი</c:v>
                </c:pt>
                <c:pt idx="7">
                  <c:v>შიდა ქართლი</c:v>
                </c:pt>
              </c:strCache>
            </c:strRef>
          </c:cat>
          <c:val>
            <c:numRef>
              <c:f>'რეგიონის მიხედვით შემტხვევები'!$C$6:$C$13</c:f>
              <c:numCache>
                <c:formatCode>General</c:formatCode>
                <c:ptCount val="8"/>
                <c:pt idx="0">
                  <c:v>10</c:v>
                </c:pt>
                <c:pt idx="1">
                  <c:v>1</c:v>
                </c:pt>
                <c:pt idx="2">
                  <c:v>1</c:v>
                </c:pt>
                <c:pt idx="3">
                  <c:v>50</c:v>
                </c:pt>
                <c:pt idx="4">
                  <c:v>21</c:v>
                </c:pt>
                <c:pt idx="5">
                  <c:v>1</c:v>
                </c:pt>
                <c:pt idx="6">
                  <c:v>6</c:v>
                </c:pt>
                <c:pt idx="7">
                  <c:v>10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solidFill>
                  <a:srgbClr val="002060"/>
                </a:solidFill>
              </a:defRPr>
            </a:pPr>
            <a:r>
              <a:rPr lang="ka-GE" sz="1000">
                <a:solidFill>
                  <a:srgbClr val="002060"/>
                </a:solidFill>
              </a:rPr>
              <a:t>საშუალო</a:t>
            </a:r>
            <a:r>
              <a:rPr lang="ka-GE" sz="1000" baseline="0">
                <a:solidFill>
                  <a:srgbClr val="002060"/>
                </a:solidFill>
              </a:rPr>
              <a:t> ხარჯვა თვეში (ტოპ-5 დაწესებულება)</a:t>
            </a:r>
            <a:endParaRPr lang="ka-GE" sz="1000">
              <a:solidFill>
                <a:srgbClr val="002060"/>
              </a:solidFill>
            </a:endParaRPr>
          </a:p>
        </c:rich>
      </c:tx>
      <c:overlay val="0"/>
    </c:title>
    <c:autoTitleDeleted val="0"/>
    <c:plotArea>
      <c:layout/>
      <c:barChart>
        <c:barDir val="col"/>
        <c:grouping val="clustered"/>
        <c:varyColors val="0"/>
        <c:ser>
          <c:idx val="0"/>
          <c:order val="0"/>
          <c:tx>
            <c:strRef>
              <c:f>'ბიუჯეტი-16'!$B$101</c:f>
              <c:strCache>
                <c:ptCount val="1"/>
                <c:pt idx="0">
                  <c:v>საშუალო ხარჯვა თვეში</c:v>
                </c:pt>
              </c:strCache>
            </c:strRef>
          </c:tx>
          <c:spPr>
            <a:solidFill>
              <a:schemeClr val="bg2">
                <a:lumMod val="50000"/>
              </a:schemeClr>
            </a:solidFill>
            <a:scene3d>
              <a:camera prst="orthographicFront"/>
              <a:lightRig rig="threePt" dir="t"/>
            </a:scene3d>
            <a:sp3d>
              <a:bevelT w="152400" h="50800" prst="softRound"/>
            </a:sp3d>
          </c:spPr>
          <c:invertIfNegative val="0"/>
          <c:cat>
            <c:strRef>
              <c:f>'ბიუჯეტი-16'!$A$102:$A$106</c:f>
              <c:strCache>
                <c:ptCount val="5"/>
                <c:pt idx="0">
                  <c:v>შპს მულტიპროფილური ჰოსპიტალი - მედიქალ სიტი და ინფექციურ დაავადებათა მართვის ცენტრი</c:v>
                </c:pt>
                <c:pt idx="1">
                  <c:v>სს ინფექციური პათოლოგიის შიდსისა და კლინიკური იმუნოლოგიის სამეცნიერო-პრაქტიკული ცენტრი</c:v>
                </c:pt>
                <c:pt idx="2">
                  <c:v>შპს უნიმედი კახეთი (ბათუმი)</c:v>
                </c:pt>
                <c:pt idx="3">
                  <c:v>შპს აკადემიკოს ვახტანგ ბოჭორიშვილის სახელობის სეფსისის და ინფექციურ პათოლოგიათა კლინიკა</c:v>
                </c:pt>
                <c:pt idx="4">
                  <c:v>შპს "ქ.თბილისის ბავშვთა ინფექციური კლინიკური საავადმყოფო"</c:v>
                </c:pt>
              </c:strCache>
            </c:strRef>
          </c:cat>
          <c:val>
            <c:numRef>
              <c:f>'ბიუჯეტი-16'!$B$102:$B$106</c:f>
              <c:numCache>
                <c:formatCode>_(* #,##0.00_);_(* \(#,##0.00\);_(* "-"??_);_(@_)</c:formatCode>
                <c:ptCount val="5"/>
                <c:pt idx="0">
                  <c:v>195548.47555555555</c:v>
                </c:pt>
                <c:pt idx="1">
                  <c:v>152478.09222222221</c:v>
                </c:pt>
                <c:pt idx="2">
                  <c:v>52558.303333333337</c:v>
                </c:pt>
                <c:pt idx="3">
                  <c:v>87766.625555555554</c:v>
                </c:pt>
                <c:pt idx="4">
                  <c:v>169392.24888888886</c:v>
                </c:pt>
              </c:numCache>
            </c:numRef>
          </c:val>
        </c:ser>
        <c:dLbls>
          <c:showLegendKey val="0"/>
          <c:showVal val="0"/>
          <c:showCatName val="0"/>
          <c:showSerName val="0"/>
          <c:showPercent val="0"/>
          <c:showBubbleSize val="0"/>
        </c:dLbls>
        <c:gapWidth val="150"/>
        <c:axId val="337831040"/>
        <c:axId val="337832576"/>
      </c:barChart>
      <c:catAx>
        <c:axId val="337831040"/>
        <c:scaling>
          <c:orientation val="minMax"/>
        </c:scaling>
        <c:delete val="0"/>
        <c:axPos val="b"/>
        <c:majorTickMark val="out"/>
        <c:minorTickMark val="none"/>
        <c:tickLblPos val="nextTo"/>
        <c:crossAx val="337832576"/>
        <c:crosses val="autoZero"/>
        <c:auto val="1"/>
        <c:lblAlgn val="ctr"/>
        <c:lblOffset val="100"/>
        <c:noMultiLvlLbl val="0"/>
      </c:catAx>
      <c:valAx>
        <c:axId val="337832576"/>
        <c:scaling>
          <c:orientation val="minMax"/>
        </c:scaling>
        <c:delete val="0"/>
        <c:axPos val="l"/>
        <c:majorGridlines/>
        <c:numFmt formatCode="_(* #,##0.00_);_(* \(#,##0.00\);_(* &quot;-&quot;??_);_(@_)" sourceLinked="1"/>
        <c:majorTickMark val="out"/>
        <c:minorTickMark val="none"/>
        <c:tickLblPos val="nextTo"/>
        <c:crossAx val="33783104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a:t>სს  "</a:t>
            </a:r>
            <a:r>
              <a:rPr lang="ka-GE" sz="1000">
                <a:solidFill>
                  <a:srgbClr val="002060"/>
                </a:solidFill>
              </a:rPr>
              <a:t>იავნანა</a:t>
            </a:r>
            <a:r>
              <a:rPr lang="ka-GE" sz="1000"/>
              <a: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იავნანა!$A$2</c:f>
              <c:strCache>
                <c:ptCount val="1"/>
                <c:pt idx="0">
                  <c:v>სს  "იავნანა"</c:v>
                </c:pt>
              </c:strCache>
            </c:strRef>
          </c:tx>
          <c:invertIfNegative val="0"/>
          <c:cat>
            <c:numRef>
              <c:f>იავნანა!$B$1:$J$1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იავნანა!$B$2:$J$2</c:f>
              <c:numCache>
                <c:formatCode>_(* #,##0.00_);_(* \(#,##0.00\);_(* "-"??_);_(@_)</c:formatCode>
                <c:ptCount val="9"/>
                <c:pt idx="0">
                  <c:v>20421.54</c:v>
                </c:pt>
                <c:pt idx="1">
                  <c:v>15126.44</c:v>
                </c:pt>
                <c:pt idx="2">
                  <c:v>56507.57</c:v>
                </c:pt>
                <c:pt idx="3">
                  <c:v>41576.44</c:v>
                </c:pt>
                <c:pt idx="4">
                  <c:v>20813.060000000001</c:v>
                </c:pt>
                <c:pt idx="5">
                  <c:v>13838.47</c:v>
                </c:pt>
                <c:pt idx="6">
                  <c:v>21739.83</c:v>
                </c:pt>
                <c:pt idx="7">
                  <c:v>29050.54</c:v>
                </c:pt>
                <c:pt idx="8">
                  <c:v>36651.050000000003</c:v>
                </c:pt>
              </c:numCache>
            </c:numRef>
          </c:val>
        </c:ser>
        <c:dLbls>
          <c:showLegendKey val="0"/>
          <c:showVal val="0"/>
          <c:showCatName val="0"/>
          <c:showSerName val="0"/>
          <c:showPercent val="0"/>
          <c:showBubbleSize val="0"/>
        </c:dLbls>
        <c:gapWidth val="150"/>
        <c:shape val="cone"/>
        <c:axId val="337857536"/>
        <c:axId val="337863424"/>
        <c:axId val="0"/>
      </c:bar3DChart>
      <c:dateAx>
        <c:axId val="337857536"/>
        <c:scaling>
          <c:orientation val="minMax"/>
        </c:scaling>
        <c:delete val="0"/>
        <c:axPos val="b"/>
        <c:numFmt formatCode="mmm\-yy" sourceLinked="1"/>
        <c:majorTickMark val="out"/>
        <c:minorTickMark val="none"/>
        <c:tickLblPos val="nextTo"/>
        <c:crossAx val="337863424"/>
        <c:crosses val="autoZero"/>
        <c:auto val="1"/>
        <c:lblOffset val="100"/>
        <c:baseTimeUnit val="months"/>
      </c:dateAx>
      <c:valAx>
        <c:axId val="337863424"/>
        <c:scaling>
          <c:orientation val="minMax"/>
        </c:scaling>
        <c:delete val="0"/>
        <c:axPos val="l"/>
        <c:majorGridlines/>
        <c:numFmt formatCode="_(* #,##0.00_);_(* \(#,##0.00\);_(* &quot;-&quot;??_);_(@_)" sourceLinked="1"/>
        <c:majorTickMark val="out"/>
        <c:minorTickMark val="none"/>
        <c:tickLblPos val="nextTo"/>
        <c:crossAx val="33785753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'უნიმედი-ბათუმი'!$A$2</c:f>
              <c:strCache>
                <c:ptCount val="1"/>
                <c:pt idx="0">
                  <c:v>შპს უნიმედი კახეთი (ბათუმი)</c:v>
                </c:pt>
              </c:strCache>
            </c:strRef>
          </c:tx>
          <c:spPr>
            <a:solidFill>
              <a:srgbClr val="C00000"/>
            </a:solidFill>
            <a:scene3d>
              <a:camera prst="orthographicFront"/>
              <a:lightRig rig="threePt" dir="t"/>
            </a:scene3d>
            <a:sp3d prstMaterial="metal"/>
          </c:spPr>
          <c:invertIfNegative val="0"/>
          <c:cat>
            <c:numRef>
              <c:f>'უნიმედი-ბათუმი'!$B$1:$J$1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'უნიმედი-ბათუმი'!$B$2:$J$2</c:f>
              <c:numCache>
                <c:formatCode>_(* #,##0.00_);_(* \(#,##0.00\);_(* "-"??_);_(@_)</c:formatCode>
                <c:ptCount val="9"/>
                <c:pt idx="0">
                  <c:v>45169.52</c:v>
                </c:pt>
                <c:pt idx="1">
                  <c:v>34249.97</c:v>
                </c:pt>
                <c:pt idx="2">
                  <c:v>40414.199999999997</c:v>
                </c:pt>
                <c:pt idx="3">
                  <c:v>39656.080000000002</c:v>
                </c:pt>
                <c:pt idx="4">
                  <c:v>43773.59</c:v>
                </c:pt>
                <c:pt idx="5">
                  <c:v>48708.68</c:v>
                </c:pt>
                <c:pt idx="6">
                  <c:v>51171.72</c:v>
                </c:pt>
                <c:pt idx="7">
                  <c:v>71758.33</c:v>
                </c:pt>
                <c:pt idx="8">
                  <c:v>98122.64</c:v>
                </c:pt>
              </c:numCache>
            </c:numRef>
          </c:val>
        </c:ser>
        <c:dLbls>
          <c:showLegendKey val="0"/>
          <c:showVal val="0"/>
          <c:showCatName val="0"/>
          <c:showSerName val="0"/>
          <c:showPercent val="0"/>
          <c:showBubbleSize val="0"/>
        </c:dLbls>
        <c:gapWidth val="150"/>
        <c:shape val="cone"/>
        <c:axId val="337872384"/>
        <c:axId val="337873920"/>
        <c:axId val="0"/>
      </c:bar3DChart>
      <c:dateAx>
        <c:axId val="337872384"/>
        <c:scaling>
          <c:orientation val="minMax"/>
        </c:scaling>
        <c:delete val="0"/>
        <c:axPos val="b"/>
        <c:numFmt formatCode="mmm\-yy" sourceLinked="1"/>
        <c:majorTickMark val="out"/>
        <c:minorTickMark val="none"/>
        <c:tickLblPos val="nextTo"/>
        <c:crossAx val="337873920"/>
        <c:crosses val="autoZero"/>
        <c:auto val="1"/>
        <c:lblOffset val="100"/>
        <c:baseTimeUnit val="months"/>
      </c:dateAx>
      <c:valAx>
        <c:axId val="337873920"/>
        <c:scaling>
          <c:orientation val="minMax"/>
        </c:scaling>
        <c:delete val="0"/>
        <c:axPos val="l"/>
        <c:majorGridlines/>
        <c:numFmt formatCode="_(* #,##0.00_);_(* \(#,##0.00\);_(* &quot;-&quot;??_);_(@_)" sourceLinked="1"/>
        <c:majorTickMark val="out"/>
        <c:minorTickMark val="none"/>
        <c:tickLblPos val="nextTo"/>
        <c:crossAx val="3378723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1</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8</cp:revision>
  <dcterms:created xsi:type="dcterms:W3CDTF">2016-10-21T06:49:00Z</dcterms:created>
  <dcterms:modified xsi:type="dcterms:W3CDTF">2016-11-03T15:20:00Z</dcterms:modified>
</cp:coreProperties>
</file>